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2B59A7">
      <w:pPr>
        <w:rPr>
          <w:rFonts w:hint="default" w:ascii="Times New Roman" w:hAnsi="Times New Roman" w:eastAsia="仿宋_GB2312" w:cs="Times New Roman"/>
          <w:color w:val="000000" w:themeColor="text1"/>
          <w:sz w:val="28"/>
          <w:szCs w:val="28"/>
          <w14:textFill>
            <w14:solidFill>
              <w14:schemeClr w14:val="tx1"/>
            </w14:solidFill>
          </w14:textFill>
        </w:rPr>
      </w:pPr>
    </w:p>
    <w:p w14:paraId="43B495AA">
      <w:pPr>
        <w:jc w:val="center"/>
        <w:rPr>
          <w:rFonts w:hint="eastAsia" w:ascii="方正大标宋_GBK" w:hAnsi="方正大标宋_GBK" w:eastAsia="方正大标宋_GBK" w:cs="方正大标宋_GBK"/>
          <w:color w:val="000000" w:themeColor="text1"/>
          <w:sz w:val="72"/>
          <w:szCs w:val="72"/>
          <w14:textFill>
            <w14:solidFill>
              <w14:schemeClr w14:val="tx1"/>
            </w14:solidFill>
          </w14:textFill>
        </w:rPr>
      </w:pPr>
    </w:p>
    <w:p w14:paraId="4117CEED">
      <w:pPr>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eastAsia" w:ascii="方正大标宋_GBK" w:hAnsi="方正大标宋_GBK" w:eastAsia="方正大标宋_GBK" w:cs="方正大标宋_GBK"/>
          <w:color w:val="000000" w:themeColor="text1"/>
          <w:spacing w:val="85"/>
          <w:sz w:val="64"/>
          <w:szCs w:val="64"/>
          <w14:textFill>
            <w14:solidFill>
              <w14:schemeClr w14:val="tx1"/>
            </w14:solidFill>
          </w14:textFill>
        </w:rPr>
        <w:t>聘请常年法律顾问合同</w:t>
      </w:r>
    </w:p>
    <w:p w14:paraId="63A0F6BD">
      <w:pPr>
        <w:rPr>
          <w:rFonts w:hint="default" w:ascii="Times New Roman" w:hAnsi="Times New Roman" w:eastAsia="仿宋_GB2312" w:cs="Times New Roman"/>
          <w:color w:val="000000" w:themeColor="text1"/>
          <w:sz w:val="28"/>
          <w:szCs w:val="28"/>
          <w14:textFill>
            <w14:solidFill>
              <w14:schemeClr w14:val="tx1"/>
            </w14:solidFill>
          </w14:textFill>
        </w:rPr>
      </w:pPr>
    </w:p>
    <w:p w14:paraId="4241369B">
      <w:pPr>
        <w:rPr>
          <w:rFonts w:hint="default" w:ascii="Times New Roman" w:hAnsi="Times New Roman" w:eastAsia="仿宋_GB2312" w:cs="Times New Roman"/>
          <w:color w:val="000000" w:themeColor="text1"/>
          <w:sz w:val="28"/>
          <w:szCs w:val="28"/>
          <w14:textFill>
            <w14:solidFill>
              <w14:schemeClr w14:val="tx1"/>
            </w14:solidFill>
          </w14:textFill>
        </w:rPr>
      </w:pPr>
    </w:p>
    <w:p w14:paraId="60204772">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014F0BA4">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610C6136">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55ECE231">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4B519C39">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42F8AD23">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437950B5">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32026E47">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7A076FE5">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4FF6259E">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6AF03D00">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6E026AC8">
      <w:pPr>
        <w:rPr>
          <w:rFonts w:hint="eastAsia" w:ascii="Times New Roman" w:hAnsi="Times New Roman" w:eastAsia="仿宋_GB2312" w:cs="Times New Roman"/>
          <w:color w:val="000000" w:themeColor="text1"/>
          <w:sz w:val="28"/>
          <w:szCs w:val="28"/>
          <w:lang w:eastAsia="zh-CN"/>
          <w14:textFill>
            <w14:solidFill>
              <w14:schemeClr w14:val="tx1"/>
            </w14:solidFill>
          </w14:textFill>
        </w:rPr>
      </w:pPr>
    </w:p>
    <w:p w14:paraId="1D372F90">
      <w:pPr>
        <w:keepNext w:val="0"/>
        <w:keepLines w:val="0"/>
        <w:pageBreakBefore w:val="0"/>
        <w:widowControl w:val="0"/>
        <w:kinsoku/>
        <w:wordWrap/>
        <w:overflowPunct/>
        <w:topLinePunct w:val="0"/>
        <w:autoSpaceDE/>
        <w:autoSpaceDN/>
        <w:bidi w:val="0"/>
        <w:adjustRightInd w:val="0"/>
        <w:snapToGrid w:val="0"/>
        <w:spacing w:line="400" w:lineRule="exact"/>
        <w:ind w:firstLine="2912" w:firstLineChars="700"/>
        <w:jc w:val="both"/>
        <w:textAlignment w:val="auto"/>
        <w:rPr>
          <w:rFonts w:hint="default" w:ascii="方正小标宋_GBK" w:hAnsi="方正小标宋_GBK" w:eastAsia="方正小标宋_GBK" w:cs="方正小标宋_GBK"/>
          <w:color w:val="000000" w:themeColor="text1"/>
          <w:sz w:val="36"/>
          <w:szCs w:val="36"/>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pacing w:val="28"/>
          <w:sz w:val="36"/>
          <w:szCs w:val="36"/>
          <w:lang w:eastAsia="zh-CN"/>
          <w14:textFill>
            <w14:solidFill>
              <w14:schemeClr w14:val="tx1"/>
            </w14:solidFill>
          </w14:textFill>
        </w:rPr>
        <w:t>海南省司法厅</w:t>
      </w:r>
      <w:r>
        <w:rPr>
          <w:rFonts w:hint="eastAsia" w:ascii="方正小标宋_GBK" w:hAnsi="方正小标宋_GBK" w:eastAsia="方正小标宋_GBK" w:cs="方正小标宋_GBK"/>
          <w:color w:val="000000" w:themeColor="text1"/>
          <w:spacing w:val="57"/>
          <w:sz w:val="36"/>
          <w:szCs w:val="36"/>
          <w:lang w:val="en-US" w:eastAsia="zh-CN"/>
          <w14:textFill>
            <w14:solidFill>
              <w14:schemeClr w14:val="tx1"/>
            </w14:solidFill>
          </w14:textFill>
        </w:rPr>
        <w:t xml:space="preserve"> </w:t>
      </w:r>
    </w:p>
    <w:p w14:paraId="32075FD3">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小标宋_GBK" w:hAnsi="方正小标宋_GBK" w:eastAsia="方正小标宋_GBK" w:cs="方正小标宋_GBK"/>
          <w:color w:val="000000" w:themeColor="text1"/>
          <w:sz w:val="36"/>
          <w:szCs w:val="36"/>
          <w:lang w:eastAsia="zh-CN"/>
          <w14:textFill>
            <w14:solidFill>
              <w14:schemeClr w14:val="tx1"/>
            </w14:solidFill>
          </w14:textFill>
        </w:rPr>
      </w:pP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 xml:space="preserve">               </w:t>
      </w:r>
      <w:r>
        <w:rPr>
          <w:rFonts w:hint="eastAsia" w:ascii="方正小标宋_GBK" w:hAnsi="方正小标宋_GBK" w:eastAsia="方正小标宋_GBK" w:cs="方正小标宋_GBK"/>
          <w:color w:val="000000" w:themeColor="text1"/>
          <w:sz w:val="36"/>
          <w:szCs w:val="36"/>
          <w:lang w:eastAsia="zh-CN"/>
          <w14:textFill>
            <w14:solidFill>
              <w14:schemeClr w14:val="tx1"/>
            </w14:solidFill>
          </w14:textFill>
        </w:rPr>
        <w:t>监</w:t>
      </w: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 xml:space="preserve"> </w:t>
      </w:r>
      <w:r>
        <w:rPr>
          <w:rFonts w:hint="eastAsia" w:ascii="方正小标宋_GBK" w:hAnsi="方正小标宋_GBK" w:eastAsia="方正小标宋_GBK" w:cs="方正小标宋_GBK"/>
          <w:color w:val="000000" w:themeColor="text1"/>
          <w:sz w:val="36"/>
          <w:szCs w:val="36"/>
          <w:lang w:eastAsia="zh-CN"/>
          <w14:textFill>
            <w14:solidFill>
              <w14:schemeClr w14:val="tx1"/>
            </w14:solidFill>
          </w14:textFill>
        </w:rPr>
        <w:t>制</w:t>
      </w:r>
    </w:p>
    <w:p w14:paraId="6D6E58F7">
      <w:pPr>
        <w:keepNext w:val="0"/>
        <w:keepLines w:val="0"/>
        <w:pageBreakBefore w:val="0"/>
        <w:widowControl w:val="0"/>
        <w:kinsoku/>
        <w:wordWrap/>
        <w:overflowPunct/>
        <w:topLinePunct w:val="0"/>
        <w:autoSpaceDE/>
        <w:autoSpaceDN/>
        <w:bidi w:val="0"/>
        <w:adjustRightInd w:val="0"/>
        <w:snapToGrid w:val="0"/>
        <w:spacing w:line="400" w:lineRule="exact"/>
        <w:ind w:firstLine="2880" w:firstLineChars="800"/>
        <w:jc w:val="both"/>
        <w:textAlignment w:val="auto"/>
        <w:rPr>
          <w:rFonts w:hint="eastAsia" w:ascii="Times New Roman" w:hAnsi="Times New Roman" w:eastAsia="仿宋_GB2312" w:cs="Times New Roman"/>
          <w:color w:val="000000" w:themeColor="text1"/>
          <w:sz w:val="36"/>
          <w:szCs w:val="36"/>
          <w:lang w:eastAsia="zh-CN"/>
          <w14:textFill>
            <w14:solidFill>
              <w14:schemeClr w14:val="tx1"/>
            </w14:solidFill>
          </w14:textFill>
        </w:rPr>
      </w:pPr>
      <w:r>
        <w:rPr>
          <w:rFonts w:hint="eastAsia" w:ascii="方正小标宋_GBK" w:hAnsi="方正小标宋_GBK" w:eastAsia="方正小标宋_GBK" w:cs="方正小标宋_GBK"/>
          <w:color w:val="000000" w:themeColor="text1"/>
          <w:sz w:val="36"/>
          <w:szCs w:val="36"/>
          <w:lang w:eastAsia="zh-CN"/>
          <w14:textFill>
            <w14:solidFill>
              <w14:schemeClr w14:val="tx1"/>
            </w14:solidFill>
          </w14:textFill>
        </w:rPr>
        <w:t>海南省律师协会</w:t>
      </w:r>
    </w:p>
    <w:p w14:paraId="09C3ED85">
      <w:pPr>
        <w:keepNext w:val="0"/>
        <w:keepLines w:val="0"/>
        <w:pageBreakBefore w:val="0"/>
        <w:widowControl w:val="0"/>
        <w:kinsoku/>
        <w:wordWrap/>
        <w:overflowPunct/>
        <w:topLinePunct w:val="0"/>
        <w:autoSpaceDE/>
        <w:autoSpaceDN/>
        <w:bidi w:val="0"/>
        <w:spacing w:line="400" w:lineRule="exact"/>
        <w:textAlignment w:val="auto"/>
        <w:rPr>
          <w:rFonts w:hint="default" w:ascii="Times New Roman" w:hAnsi="Times New Roman" w:eastAsia="仿宋_GB2312" w:cs="Times New Roman"/>
          <w:color w:val="000000" w:themeColor="text1"/>
          <w:sz w:val="36"/>
          <w:szCs w:val="36"/>
          <w14:textFill>
            <w14:solidFill>
              <w14:schemeClr w14:val="tx1"/>
            </w14:solidFill>
          </w14:textFill>
        </w:rPr>
      </w:pPr>
    </w:p>
    <w:p w14:paraId="55CB4C36">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大标宋_GBK" w:hAnsi="方正大标宋_GBK" w:eastAsia="方正大标宋_GBK" w:cs="方正大标宋_GBK"/>
          <w:color w:val="000000" w:themeColor="text1"/>
          <w:sz w:val="21"/>
          <w:szCs w:val="21"/>
          <w14:textFill>
            <w14:solidFill>
              <w14:schemeClr w14:val="tx1"/>
            </w14:solidFill>
          </w14:textFill>
        </w:rPr>
        <w:sectPr>
          <w:pgSz w:w="11906" w:h="16838"/>
          <w:pgMar w:top="1440" w:right="1417" w:bottom="1440" w:left="1417" w:header="851" w:footer="992" w:gutter="0"/>
          <w:cols w:space="425" w:num="1"/>
          <w:docGrid w:type="lines" w:linePitch="312" w:charSpace="0"/>
        </w:sectPr>
      </w:pPr>
    </w:p>
    <w:p w14:paraId="42D4577A">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大标宋_GBK" w:hAnsi="方正大标宋_GBK" w:eastAsia="方正大标宋_GBK" w:cs="方正大标宋_GBK"/>
          <w:color w:val="000000" w:themeColor="text1"/>
          <w:sz w:val="21"/>
          <w:szCs w:val="21"/>
          <w14:textFill>
            <w14:solidFill>
              <w14:schemeClr w14:val="tx1"/>
            </w14:solidFill>
          </w14:textFill>
        </w:rPr>
      </w:pPr>
    </w:p>
    <w:p w14:paraId="6C5A562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eastAsia" w:ascii="方正大标宋_GBK" w:hAnsi="方正大标宋_GBK" w:eastAsia="方正大标宋_GBK" w:cs="方正大标宋_GBK"/>
          <w:color w:val="000000" w:themeColor="text1"/>
          <w:sz w:val="44"/>
          <w:szCs w:val="44"/>
          <w14:textFill>
            <w14:solidFill>
              <w14:schemeClr w14:val="tx1"/>
            </w14:solidFill>
          </w14:textFill>
        </w:rPr>
        <w:t>聘请常年法律顾问合同</w:t>
      </w:r>
    </w:p>
    <w:p w14:paraId="5F152A34">
      <w:pPr>
        <w:rPr>
          <w:rFonts w:hint="default" w:ascii="Times New Roman" w:hAnsi="Times New Roman" w:eastAsia="仿宋_GB2312" w:cs="Times New Roman"/>
          <w:color w:val="000000" w:themeColor="text1"/>
          <w:sz w:val="28"/>
          <w:szCs w:val="28"/>
          <w14:textFill>
            <w14:solidFill>
              <w14:schemeClr w14:val="tx1"/>
            </w14:solidFill>
          </w14:textFill>
        </w:rPr>
      </w:pPr>
    </w:p>
    <w:p w14:paraId="553F70C7">
      <w:pPr>
        <w:jc w:val="righ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合同编号：琼</w:t>
      </w:r>
      <w:r>
        <w:rPr>
          <w:rFonts w:hint="eastAsia" w:asciiTheme="minorEastAsia" w:hAnsiTheme="minorEastAsia" w:cstheme="minorEastAsia"/>
          <w:color w:val="000000" w:themeColor="text1"/>
          <w:sz w:val="24"/>
          <w:szCs w:val="24"/>
          <w:lang w:eastAsia="zh-CN"/>
          <w14:textFill>
            <w14:solidFill>
              <w14:schemeClr w14:val="tx1"/>
            </w14:solidFill>
          </w14:textFill>
        </w:rPr>
        <w:t>大</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律顾字[        ]第      号 </w:t>
      </w:r>
    </w:p>
    <w:p w14:paraId="2EEB409A">
      <w:pP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 </w:t>
      </w:r>
    </w:p>
    <w:p w14:paraId="444CD5E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_GB2312"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聘请方（甲方）：</w:t>
      </w:r>
      <w:bookmarkStart w:id="0" w:name="OLE_LINK1"/>
      <w:r>
        <w:rPr>
          <w:rFonts w:hint="default" w:ascii="Times New Roman" w:hAnsi="Times New Roman" w:eastAsia="仿宋_GB2312" w:cs="Times New Roman"/>
          <w:b/>
          <w:bCs/>
          <w:color w:val="000000" w:themeColor="text1"/>
          <w:sz w:val="28"/>
          <w:szCs w:val="28"/>
          <w:lang w:val="en-US" w:eastAsia="en-US"/>
          <w14:textFill>
            <w14:solidFill>
              <w14:schemeClr w14:val="tx1"/>
            </w14:solidFill>
          </w14:textFill>
        </w:rPr>
        <w:t>海口</w:t>
      </w:r>
      <w:r>
        <w:rPr>
          <w:rFonts w:hint="eastAsia" w:ascii="Times New Roman" w:hAnsi="Times New Roman" w:eastAsia="仿宋_GB2312" w:cs="Times New Roman"/>
          <w:b/>
          <w:bCs/>
          <w:color w:val="000000" w:themeColor="text1"/>
          <w:sz w:val="28"/>
          <w:szCs w:val="28"/>
          <w:lang w:val="en-US" w:eastAsia="zh-CN"/>
          <w14:textFill>
            <w14:solidFill>
              <w14:schemeClr w14:val="tx1"/>
            </w14:solidFill>
          </w14:textFill>
        </w:rPr>
        <w:t>桂林洋投资发展控股</w:t>
      </w:r>
      <w:r>
        <w:rPr>
          <w:rFonts w:hint="default" w:ascii="Times New Roman" w:hAnsi="Times New Roman" w:eastAsia="仿宋_GB2312" w:cs="Times New Roman"/>
          <w:b/>
          <w:bCs/>
          <w:color w:val="000000" w:themeColor="text1"/>
          <w:sz w:val="28"/>
          <w:szCs w:val="28"/>
          <w:lang w:val="en-US" w:eastAsia="en-US"/>
          <w14:textFill>
            <w14:solidFill>
              <w14:schemeClr w14:val="tx1"/>
            </w14:solidFill>
          </w14:textFill>
        </w:rPr>
        <w:t>有限公司</w:t>
      </w:r>
      <w:bookmarkEnd w:id="0"/>
    </w:p>
    <w:p w14:paraId="7D83D53E">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受聘方（乙方）：</w:t>
      </w:r>
      <w:r>
        <w:rPr>
          <w:rFonts w:hint="eastAsia" w:ascii="Times New Roman"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 xml:space="preserve">律师事务所 </w:t>
      </w:r>
    </w:p>
    <w:p w14:paraId="47FF4575">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 </w:t>
      </w:r>
    </w:p>
    <w:p w14:paraId="771A6D3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根据中华人民共和国《</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民法典</w:t>
      </w:r>
      <w:r>
        <w:rPr>
          <w:rFonts w:hint="default" w:ascii="Times New Roman" w:hAnsi="Times New Roman" w:eastAsia="仿宋_GB2312" w:cs="Times New Roman"/>
          <w:color w:val="000000" w:themeColor="text1"/>
          <w:sz w:val="28"/>
          <w:szCs w:val="28"/>
          <w14:textFill>
            <w14:solidFill>
              <w14:schemeClr w14:val="tx1"/>
            </w14:solidFill>
          </w14:textFill>
        </w:rPr>
        <w:t xml:space="preserve">》、《律师法》及其他有关法律的规定，甲方因业务发展和维护自身合法权益的需要，聘请乙方律师作为常年法律顾问。双方按照诚实信用原则，经协商一致，立此合同，共同遵守。 </w:t>
      </w:r>
    </w:p>
    <w:p w14:paraId="0B595CAF">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第一条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乙方的服务范围 </w:t>
      </w:r>
    </w:p>
    <w:p w14:paraId="18B77EC4">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（一）协助甲方处理日常法律事务，包括应甲方要求： </w:t>
      </w:r>
    </w:p>
    <w:p w14:paraId="1C3EB8E6">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解答法律咨询、依法提供意见与建议，</w:t>
      </w:r>
      <w:r>
        <w:rPr>
          <w:rFonts w:hint="eastAsia" w:ascii="Times New Roman" w:hAnsi="Times New Roman" w:eastAsia="仿宋_GB2312" w:cs="Times New Roman"/>
          <w:color w:val="000000"/>
          <w:sz w:val="28"/>
          <w:szCs w:val="28"/>
        </w:rPr>
        <w:t>根据甲方要求出</w:t>
      </w:r>
      <w:r>
        <w:rPr>
          <w:rFonts w:ascii="Times New Roman" w:hAnsi="Times New Roman" w:eastAsia="仿宋_GB2312" w:cs="Times New Roman"/>
          <w:color w:val="000000"/>
          <w:sz w:val="28"/>
          <w:szCs w:val="28"/>
        </w:rPr>
        <w:t>具</w:t>
      </w:r>
      <w:r>
        <w:rPr>
          <w:rFonts w:hint="eastAsia" w:ascii="Times New Roman" w:hAnsi="Times New Roman" w:eastAsia="仿宋_GB2312" w:cs="Times New Roman"/>
          <w:color w:val="000000"/>
          <w:sz w:val="28"/>
          <w:szCs w:val="28"/>
        </w:rPr>
        <w:t>法律意见</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包括但不限于合同（协议）、</w:t>
      </w:r>
      <w:r>
        <w:rPr>
          <w:rFonts w:hint="eastAsia" w:ascii="Times New Roman" w:hAnsi="Times New Roman" w:eastAsia="仿宋_GB2312" w:cs="Times New Roman"/>
          <w:color w:val="000000"/>
          <w:sz w:val="28"/>
          <w:szCs w:val="28"/>
        </w:rPr>
        <w:t>招标文件模板</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对外重要发文、疑难问题</w:t>
      </w:r>
      <w:r>
        <w:rPr>
          <w:rFonts w:hint="eastAsia" w:ascii="Times New Roman" w:hAnsi="Times New Roman" w:eastAsia="仿宋_GB2312" w:cs="Times New Roman"/>
          <w:color w:val="000000"/>
          <w:sz w:val="28"/>
          <w:szCs w:val="28"/>
        </w:rPr>
        <w:t>的法核</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 xml:space="preserve">； </w:t>
      </w:r>
    </w:p>
    <w:p w14:paraId="2F77A24B">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2</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 xml:space="preserve">协助甲方起草、修改、审查合同、章程等法律文书，为甲方防范或减少纠纷的发生； </w:t>
      </w:r>
    </w:p>
    <w:p w14:paraId="65026903">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3</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 xml:space="preserve">协助甲方起草、修改、审查内部规章制度，并就甲方的内部管理提供法律咨询服务，增强甲方内部管理的规范性和可操作性； </w:t>
      </w:r>
    </w:p>
    <w:p w14:paraId="46F1C53D">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4</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 xml:space="preserve">就甲方已经面临或者可能发生的纠纷，进行法律论证，提出解决方案，发表律师意见或出具律师函； </w:t>
      </w:r>
    </w:p>
    <w:p w14:paraId="69A83538">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5</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rPr>
        <w:t>对公司重要决策和投资计划提供法律意见；</w:t>
      </w:r>
    </w:p>
    <w:p w14:paraId="27DC8F73">
      <w:pPr>
        <w:snapToGrid w:val="0"/>
        <w:spacing w:line="384" w:lineRule="auto"/>
        <w:ind w:firstLine="560" w:firstLineChars="200"/>
        <w:rPr>
          <w:rFonts w:ascii="Calibri" w:eastAsia="宋体" w:cs="Times New Roman"/>
          <w:sz w:val="21"/>
          <w:szCs w:val="24"/>
          <w:lang w:val="zh-CN"/>
        </w:rPr>
      </w:pPr>
      <w:r>
        <w:rPr>
          <w:rFonts w:hint="eastAsia" w:ascii="Times New Roman" w:hAnsi="Times New Roman" w:eastAsia="仿宋_GB2312" w:cs="Times New Roman"/>
          <w:color w:val="000000"/>
          <w:sz w:val="28"/>
          <w:szCs w:val="28"/>
        </w:rPr>
        <w:t>6</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zh-CN"/>
        </w:rPr>
        <w:t>根据要求协助草拟</w:t>
      </w:r>
      <w:r>
        <w:rPr>
          <w:rFonts w:hint="eastAsia" w:ascii="Times New Roman" w:hAnsi="Times New Roman" w:eastAsia="仿宋_GB2312" w:cs="Times New Roman"/>
          <w:color w:val="000000"/>
          <w:sz w:val="28"/>
          <w:szCs w:val="28"/>
        </w:rPr>
        <w:t>相关重要文件；</w:t>
      </w:r>
    </w:p>
    <w:p w14:paraId="55DF9CF1">
      <w:pPr>
        <w:snapToGrid w:val="0"/>
        <w:spacing w:line="384"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7</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rPr>
        <w:t>配合</w:t>
      </w:r>
      <w:r>
        <w:rPr>
          <w:rFonts w:hint="eastAsia" w:ascii="Times New Roman" w:hAnsi="Times New Roman" w:eastAsia="仿宋_GB2312" w:cs="Times New Roman"/>
          <w:color w:val="000000"/>
          <w:sz w:val="28"/>
          <w:szCs w:val="28"/>
          <w:lang w:val="zh-CN"/>
        </w:rPr>
        <w:t>参加</w:t>
      </w:r>
      <w:r>
        <w:rPr>
          <w:rFonts w:hint="eastAsia" w:ascii="Times New Roman" w:hAnsi="Times New Roman" w:eastAsia="仿宋_GB2312" w:cs="Times New Roman"/>
          <w:color w:val="000000"/>
          <w:sz w:val="28"/>
          <w:szCs w:val="28"/>
        </w:rPr>
        <w:t>相关</w:t>
      </w:r>
      <w:r>
        <w:rPr>
          <w:rFonts w:hint="eastAsia" w:ascii="Times New Roman" w:hAnsi="Times New Roman" w:eastAsia="仿宋_GB2312" w:cs="Times New Roman"/>
          <w:color w:val="000000"/>
          <w:sz w:val="28"/>
          <w:szCs w:val="28"/>
          <w:lang w:val="zh-CN"/>
        </w:rPr>
        <w:t>工作会议，了解</w:t>
      </w:r>
      <w:r>
        <w:rPr>
          <w:rFonts w:hint="eastAsia" w:ascii="Times New Roman" w:hAnsi="Times New Roman" w:eastAsia="仿宋_GB2312" w:cs="Times New Roman"/>
          <w:color w:val="000000"/>
          <w:sz w:val="28"/>
          <w:szCs w:val="28"/>
        </w:rPr>
        <w:t>服务期内</w:t>
      </w:r>
      <w:r>
        <w:rPr>
          <w:rFonts w:hint="eastAsia" w:ascii="Times New Roman" w:hAnsi="Times New Roman" w:eastAsia="仿宋_GB2312" w:cs="Times New Roman"/>
          <w:color w:val="000000"/>
          <w:sz w:val="28"/>
          <w:szCs w:val="28"/>
          <w:lang w:val="zh-CN"/>
        </w:rPr>
        <w:t>出现的各种问题，并</w:t>
      </w:r>
      <w:r>
        <w:rPr>
          <w:rFonts w:hint="eastAsia" w:ascii="Times New Roman" w:hAnsi="Times New Roman" w:eastAsia="仿宋_GB2312" w:cs="Times New Roman"/>
          <w:color w:val="000000"/>
          <w:sz w:val="28"/>
          <w:szCs w:val="28"/>
        </w:rPr>
        <w:t>及时</w:t>
      </w:r>
      <w:r>
        <w:rPr>
          <w:rFonts w:hint="eastAsia" w:ascii="Times New Roman" w:hAnsi="Times New Roman" w:eastAsia="仿宋_GB2312" w:cs="Times New Roman"/>
          <w:color w:val="000000"/>
          <w:sz w:val="28"/>
          <w:szCs w:val="28"/>
          <w:lang w:val="zh-CN"/>
        </w:rPr>
        <w:t>提岀法律解决方案；</w:t>
      </w:r>
    </w:p>
    <w:p w14:paraId="5D999547">
      <w:pPr>
        <w:snapToGrid w:val="0"/>
        <w:spacing w:line="384" w:lineRule="auto"/>
        <w:ind w:firstLine="560" w:firstLineChars="200"/>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8</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协助甲方进行职工法制培训，讲授法律实务知识</w:t>
      </w:r>
      <w:r>
        <w:rPr>
          <w:rFonts w:hint="eastAsia" w:ascii="Times New Roman" w:hAnsi="Times New Roman" w:eastAsia="仿宋_GB2312" w:cs="Times New Roman"/>
          <w:color w:val="000000"/>
          <w:sz w:val="28"/>
          <w:szCs w:val="28"/>
        </w:rPr>
        <w:t>，每年至少一次，且不少于2个小时；</w:t>
      </w:r>
    </w:p>
    <w:p w14:paraId="5C4651F5">
      <w:pPr>
        <w:widowControl w:val="0"/>
        <w:spacing w:line="360" w:lineRule="auto"/>
        <w:ind w:left="0" w:leftChars="0" w:firstLine="560" w:firstLineChars="200"/>
        <w:jc w:val="both"/>
        <w:rPr>
          <w:rFonts w:hint="eastAsia" w:ascii="Times New Roman" w:hAnsi="Times New Roman" w:eastAsia="仿宋_GB2312" w:cs="Times New Roman"/>
          <w:color w:val="000000"/>
          <w:kern w:val="2"/>
          <w:sz w:val="28"/>
          <w:szCs w:val="28"/>
          <w:lang w:val="en-US" w:eastAsia="zh-CN" w:bidi="ar-SA"/>
        </w:rPr>
      </w:pPr>
      <w:r>
        <w:rPr>
          <w:rFonts w:hint="eastAsia" w:ascii="Times New Roman" w:hAnsi="Times New Roman" w:eastAsia="仿宋_GB2312" w:cs="Times New Roman"/>
          <w:color w:val="000000"/>
          <w:kern w:val="2"/>
          <w:sz w:val="28"/>
          <w:szCs w:val="28"/>
          <w:lang w:val="en-US" w:eastAsia="zh-CN" w:bidi="ar-SA"/>
        </w:rPr>
        <w:t>9.积极配合甲方落实紧急法核件、非工作日、正常工作时间外等特殊情况下的用印需求；</w:t>
      </w:r>
    </w:p>
    <w:p w14:paraId="13CD9B3D">
      <w:pPr>
        <w:widowControl w:val="0"/>
        <w:spacing w:line="360" w:lineRule="auto"/>
        <w:ind w:left="0" w:leftChars="0" w:firstLine="560" w:firstLineChars="200"/>
        <w:jc w:val="both"/>
        <w:rPr>
          <w:rFonts w:hint="eastAsia" w:ascii="仿宋_GB2312" w:hAnsi="仿宋_GB2312" w:eastAsia="仿宋_GB2312" w:cs="仿宋_GB2312"/>
          <w:color w:val="000000"/>
          <w:kern w:val="2"/>
          <w:sz w:val="28"/>
          <w:szCs w:val="28"/>
          <w:highlight w:val="none"/>
          <w:lang w:val="en-US" w:eastAsia="zh-CN" w:bidi="ar-SA"/>
        </w:rPr>
      </w:pPr>
      <w:r>
        <w:rPr>
          <w:rFonts w:hint="eastAsia" w:ascii="Times New Roman" w:hAnsi="Times New Roman" w:eastAsia="仿宋_GB2312" w:cs="Times New Roman"/>
          <w:color w:val="000000"/>
          <w:kern w:val="2"/>
          <w:sz w:val="28"/>
          <w:szCs w:val="28"/>
          <w:highlight w:val="none"/>
          <w:lang w:val="en-US" w:eastAsia="zh-CN" w:bidi="ar-SA"/>
        </w:rPr>
        <w:t>10.</w:t>
      </w:r>
      <w:r>
        <w:rPr>
          <w:rFonts w:hint="eastAsia" w:ascii="仿宋_GB2312" w:hAnsi="仿宋_GB2312" w:eastAsia="仿宋_GB2312" w:cs="仿宋_GB2312"/>
          <w:i w:val="0"/>
          <w:iCs w:val="0"/>
          <w:caps w:val="0"/>
          <w:color w:val="333333"/>
          <w:spacing w:val="0"/>
          <w:sz w:val="28"/>
          <w:szCs w:val="28"/>
          <w:highlight w:val="none"/>
        </w:rPr>
        <w:t>乙方需提供坐班服务内容，乙方需指派一名具备执业（或职业）资格的律师，在甲方指定的办公地点提供现场法律服务。坐班时间：每周固定坐班两个工作日（时间为【8:30-17:30】），甲方可根据需要提前与乙方协商调整坐班时间</w:t>
      </w:r>
      <w:r>
        <w:rPr>
          <w:rFonts w:hint="eastAsia" w:ascii="仿宋_GB2312" w:hAnsi="仿宋_GB2312" w:eastAsia="仿宋_GB2312" w:cs="仿宋_GB2312"/>
          <w:i w:val="0"/>
          <w:iCs w:val="0"/>
          <w:caps w:val="0"/>
          <w:color w:val="333333"/>
          <w:spacing w:val="0"/>
          <w:sz w:val="28"/>
          <w:szCs w:val="28"/>
          <w:highlight w:val="none"/>
          <w:lang w:eastAsia="zh-CN"/>
        </w:rPr>
        <w:t>。</w:t>
      </w:r>
    </w:p>
    <w:p w14:paraId="1B65CFAF">
      <w:pPr>
        <w:snapToGrid w:val="0"/>
        <w:spacing w:line="360" w:lineRule="auto"/>
        <w:ind w:firstLine="560" w:firstLineChars="200"/>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11.</w:t>
      </w:r>
      <w:r>
        <w:rPr>
          <w:rFonts w:ascii="Times New Roman" w:hAnsi="Times New Roman" w:eastAsia="仿宋_GB2312" w:cs="Times New Roman"/>
          <w:color w:val="000000"/>
          <w:sz w:val="28"/>
          <w:szCs w:val="28"/>
        </w:rPr>
        <w:t>办理双方商定的其他法律事务</w:t>
      </w:r>
      <w:r>
        <w:rPr>
          <w:rFonts w:hint="eastAsia" w:ascii="Times New Roman" w:hAnsi="Times New Roman" w:eastAsia="仿宋_GB2312" w:cs="Times New Roman"/>
          <w:color w:val="000000"/>
          <w:sz w:val="28"/>
          <w:szCs w:val="28"/>
        </w:rPr>
        <w:t>。</w:t>
      </w:r>
    </w:p>
    <w:p w14:paraId="23399DC2">
      <w:pPr>
        <w:keepNext w:val="0"/>
        <w:keepLines w:val="0"/>
        <w:widowControl/>
        <w:suppressLineNumbers w:val="0"/>
        <w:ind w:firstLine="560" w:firstLineChars="20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（二）上述服务范围包括甲方</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及下属子公司</w:t>
      </w:r>
      <w:r>
        <w:rPr>
          <w:rFonts w:hint="default" w:ascii="Times New Roman" w:hAnsi="Times New Roman" w:eastAsia="仿宋_GB2312" w:cs="Times New Roman"/>
          <w:color w:val="000000" w:themeColor="text1"/>
          <w:sz w:val="28"/>
          <w:szCs w:val="28"/>
          <w14:textFill>
            <w14:solidFill>
              <w14:schemeClr w14:val="tx1"/>
            </w14:solidFill>
          </w14:textFill>
        </w:rPr>
        <w:t xml:space="preserve">。 </w:t>
      </w:r>
    </w:p>
    <w:p w14:paraId="3273828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（三）上述服务范围不包括涉及民事、行政、刑事等必须进入诉讼或者行政复议、仲裁等程序的代理事务，也不包括涉及投资、融资、企业改制、重组、购并、破产、股票发行、上市及其他重大</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或重要</w:t>
      </w:r>
      <w:r>
        <w:rPr>
          <w:rFonts w:hint="default" w:ascii="Times New Roman" w:hAnsi="Times New Roman" w:eastAsia="仿宋_GB2312" w:cs="Times New Roman"/>
          <w:color w:val="000000" w:themeColor="text1"/>
          <w:sz w:val="28"/>
          <w:szCs w:val="28"/>
          <w14:textFill>
            <w14:solidFill>
              <w14:schemeClr w14:val="tx1"/>
            </w14:solidFill>
          </w14:textFill>
        </w:rPr>
        <w:t>项目、合同</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事项</w:t>
      </w:r>
      <w:r>
        <w:rPr>
          <w:rFonts w:hint="default" w:ascii="Times New Roman" w:hAnsi="Times New Roman" w:eastAsia="仿宋_GB2312" w:cs="Times New Roman"/>
          <w:color w:val="000000" w:themeColor="text1"/>
          <w:sz w:val="28"/>
          <w:szCs w:val="28"/>
          <w14:textFill>
            <w14:solidFill>
              <w14:schemeClr w14:val="tx1"/>
            </w14:solidFill>
          </w14:textFill>
        </w:rPr>
        <w:t>的谈判、论证</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审核</w:t>
      </w:r>
      <w:r>
        <w:rPr>
          <w:rFonts w:hint="default" w:ascii="Times New Roman" w:hAnsi="Times New Roman" w:eastAsia="仿宋_GB2312" w:cs="Times New Roman"/>
          <w:color w:val="000000" w:themeColor="text1"/>
          <w:sz w:val="28"/>
          <w:szCs w:val="28"/>
          <w14:textFill>
            <w14:solidFill>
              <w14:schemeClr w14:val="tx1"/>
            </w14:solidFill>
          </w14:textFill>
        </w:rPr>
        <w:t>等专项事务；如甲方需要，</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由</w:t>
      </w:r>
      <w:r>
        <w:rPr>
          <w:rFonts w:hint="default" w:ascii="Times New Roman" w:hAnsi="Times New Roman" w:eastAsia="仿宋_GB2312" w:cs="Times New Roman"/>
          <w:color w:val="000000" w:themeColor="text1"/>
          <w:sz w:val="28"/>
          <w:szCs w:val="28"/>
          <w14:textFill>
            <w14:solidFill>
              <w14:schemeClr w14:val="tx1"/>
            </w14:solidFill>
          </w14:textFill>
        </w:rPr>
        <w:t xml:space="preserve">双方另行协商签约。 </w:t>
      </w:r>
    </w:p>
    <w:p w14:paraId="50A1BEBD">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第二条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甲方的权利和义务 </w:t>
      </w:r>
    </w:p>
    <w:p w14:paraId="2E560C6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（一）甲方应当真实、客观、全面地向乙方提供与常年法律顾问业务有关的各种文件、资料，并介绍有关情况；除紧急事务外，甲方应当提前向常年法律顾问通报，以保证其有合理的准备时间。 </w:t>
      </w:r>
    </w:p>
    <w:p w14:paraId="32BA4D44">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（二）甲方应当为常年法律顾问办理法律事务提出明确具体、合法合理的要求；不得要求常年法律顾问进行违法或者有违律师执业规范的活动。 </w:t>
      </w:r>
    </w:p>
    <w:p w14:paraId="6A8DF6DF">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（三）甲方应当依约按时、足额地向乙方支付法律顾问费和差旅费等。 </w:t>
      </w:r>
    </w:p>
    <w:p w14:paraId="7CBE9AF4">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四）甲方有责任对本合同第一条的有关法律服务事务作出独立的判断和决策，甲方根据常年法律顾问提供的意见、建议、方案所作出的决定，以及因甲方错过各种法定时效而导致的损失，非因常年法律顾问故意或严重过失等失职行为造成的，由甲方自行承担。 </w:t>
      </w:r>
    </w:p>
    <w:p w14:paraId="3C77F3F1">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（五）甲方有权要求乙方及时更换在服务过程中工作不负责任、或不适合办理甲方委托的法律事务的乙方律师担任常年法律顾问，但甲方提出此要求的理由应充分、合理。 </w:t>
      </w:r>
    </w:p>
    <w:p w14:paraId="539CFEFE">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（六）甲方有权要求乙方复印与常年法律顾问工作相关的材料，但法律法规和律师执业规范规定应当保密的材料除外。 </w:t>
      </w:r>
    </w:p>
    <w:p w14:paraId="204C3119">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第三条</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乙方的权利和义务 </w:t>
      </w:r>
    </w:p>
    <w:p w14:paraId="1C58E3D4">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（一）乙方指派</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eastAsia" w:ascii="Times New Roman" w:hAnsi="Times New Roman" w:eastAsia="仿宋_GB2312"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 xml:space="preserve">作为甲方常年法律顾问。乙方指派的律师因故不能履行职务时，由乙方另行指派律师，经甲方确认后，继续完成本合同约定的法律顾问工作。 </w:t>
      </w:r>
    </w:p>
    <w:p w14:paraId="54923ABA">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（二）常年法律顾问应当依法依理、勤勉尽责地完成本合同第一条第</w:t>
      </w:r>
    </w:p>
    <w:p w14:paraId="703CDB35">
      <w:pPr>
        <w:keepNext w:val="0"/>
        <w:keepLines w:val="0"/>
        <w:pageBreakBefore w:val="0"/>
        <w:widowControl w:val="0"/>
        <w:kinsoku/>
        <w:wordWrap/>
        <w:overflowPunct/>
        <w:topLinePunct w:val="0"/>
        <w:autoSpaceDE/>
        <w:autoSpaceDN/>
        <w:bidi w:val="0"/>
        <w:adjustRightInd/>
        <w:snapToGrid w:val="0"/>
        <w:spacing w:line="384" w:lineRule="auto"/>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（一）项所列的法律事务，切实维护甲方的合法权益。 </w:t>
      </w:r>
    </w:p>
    <w:p w14:paraId="2E269FC0">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（三）常年法律顾问应当在获得甲方提供的相关文件资料及其他必须的工作条件后，及时完成服务工作，并应甲方要求通报工作进程。 </w:t>
      </w:r>
    </w:p>
    <w:p w14:paraId="374FDB88">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（四）常年法律顾问对获知的甲方商业秘密或个人隐私负有保密责任，非因法律规定或者甲方同意，不得向任何第三方披露。但以下内容除外： </w:t>
      </w:r>
    </w:p>
    <w:p w14:paraId="6296E76A">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1、刑事犯罪证据； </w:t>
      </w:r>
    </w:p>
    <w:p w14:paraId="4BC67BA4">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2、可以公开查阅或取得的信息和资料； </w:t>
      </w:r>
    </w:p>
    <w:p w14:paraId="1DFE862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3、为履行本合同所约定的服务必须进行的工作。 </w:t>
      </w:r>
    </w:p>
    <w:p w14:paraId="61A6486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（五）如甲方隐瞒有关法律顾问事务的真实情况或要求乙方律师从事违反法律或律师执业规范的活动，乙方有权拒绝。 </w:t>
      </w:r>
    </w:p>
    <w:p w14:paraId="395FA843">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（六）常年法律顾问应当建立工作档案，保存工作记录。 </w:t>
      </w:r>
    </w:p>
    <w:p w14:paraId="503A740A">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第四条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本合同生效后，甲乙双方均可依法解除合同，因解除合同给对方造成损失的，除不可归责于解除合同一方的事由外，应当赔偿对方因此而发生的损失，赔偿金额以乙方实际收到的法律顾问费为限。 </w:t>
      </w:r>
    </w:p>
    <w:p w14:paraId="68FB3955">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第五条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服务</w:t>
      </w:r>
      <w:r>
        <w:rPr>
          <w:rFonts w:hint="default" w:ascii="Times New Roman" w:hAnsi="Times New Roman" w:eastAsia="仿宋_GB2312" w:cs="Times New Roman"/>
          <w:color w:val="000000" w:themeColor="text1"/>
          <w:sz w:val="28"/>
          <w:szCs w:val="28"/>
          <w14:textFill>
            <w14:solidFill>
              <w14:schemeClr w14:val="tx1"/>
            </w14:solidFill>
          </w14:textFill>
        </w:rPr>
        <w:t xml:space="preserve">期限与服务方式 </w:t>
      </w:r>
    </w:p>
    <w:p w14:paraId="7BBF5B45">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服务</w:t>
      </w:r>
      <w:r>
        <w:rPr>
          <w:rFonts w:hint="default" w:ascii="Times New Roman" w:hAnsi="Times New Roman" w:eastAsia="仿宋_GB2312" w:cs="Times New Roman"/>
          <w:color w:val="000000" w:themeColor="text1"/>
          <w:sz w:val="28"/>
          <w:szCs w:val="28"/>
          <w14:textFill>
            <w14:solidFill>
              <w14:schemeClr w14:val="tx1"/>
            </w14:solidFill>
          </w14:textFill>
        </w:rPr>
        <w:t>期限：自</w:t>
      </w:r>
      <w:r>
        <w:rPr>
          <w:rFonts w:hint="eastAsia" w:ascii="Times New Roman" w:hAnsi="Times New Roman" w:eastAsia="仿宋_GB2312"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年</w:t>
      </w:r>
      <w:r>
        <w:rPr>
          <w:rFonts w:hint="eastAsia" w:ascii="Times New Roman" w:hAnsi="Times New Roman" w:eastAsia="仿宋_GB2312"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月</w:t>
      </w:r>
      <w:r>
        <w:rPr>
          <w:rFonts w:hint="eastAsia" w:ascii="Times New Roman" w:hAnsi="Times New Roman" w:eastAsia="仿宋_GB2312" w:cs="Times New Roman"/>
          <w:color w:val="000000" w:themeColor="text1"/>
          <w:sz w:val="28"/>
          <w:szCs w:val="28"/>
          <w:u w:val="single"/>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日起至</w:t>
      </w:r>
      <w:r>
        <w:rPr>
          <w:rFonts w:hint="eastAsia" w:ascii="Times New Roman" w:hAnsi="Times New Roman" w:eastAsia="仿宋_GB2312" w:cs="Times New Roman"/>
          <w:color w:val="000000" w:themeColor="text1"/>
          <w:sz w:val="28"/>
          <w:szCs w:val="28"/>
          <w:u w:val="single"/>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年</w:t>
      </w:r>
      <w:r>
        <w:rPr>
          <w:rFonts w:hint="eastAsia" w:ascii="Times New Roman" w:hAnsi="Times New Roman" w:eastAsia="仿宋_GB2312" w:cs="Times New Roman"/>
          <w:color w:val="000000" w:themeColor="text1"/>
          <w:sz w:val="28"/>
          <w:szCs w:val="28"/>
          <w:u w:val="single"/>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月</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eastAsia" w:ascii="Times New Roman" w:hAnsi="Times New Roman" w:eastAsia="仿宋_GB2312"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日</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本合同期满后，双方可协商延长</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w:t>
      </w:r>
    </w:p>
    <w:p w14:paraId="40B2BFF9">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r>
        <w:rPr>
          <w:rFonts w:ascii="Times New Roman" w:hAnsi="Times New Roman" w:eastAsia="仿宋_GB2312" w:cs="Times New Roman"/>
          <w:color w:val="000000"/>
          <w:sz w:val="28"/>
          <w:szCs w:val="28"/>
        </w:rPr>
        <w:t>服务方式</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u w:val="single"/>
        </w:rPr>
        <w:t>坐班模式，</w:t>
      </w:r>
      <w:r>
        <w:rPr>
          <w:rFonts w:hint="eastAsia" w:ascii="Times New Roman" w:hAnsi="Times New Roman" w:eastAsia="仿宋_GB2312" w:cs="Times New Roman"/>
          <w:color w:val="000000"/>
          <w:kern w:val="2"/>
          <w:sz w:val="28"/>
          <w:szCs w:val="28"/>
          <w:highlight w:val="none"/>
          <w:lang w:val="en-US" w:eastAsia="zh-CN" w:bidi="ar-SA"/>
        </w:rPr>
        <w:t>乙方应于每周安排专业律师在甲方指定地点坐班，坐班时长不少于两个工作日，以协助甲方处理各类日常法律事务，包括但不限于合同审查、法律咨询等</w:t>
      </w:r>
      <w:r>
        <w:rPr>
          <w:rFonts w:ascii="Times New Roman" w:hAnsi="Times New Roman" w:eastAsia="仿宋_GB2312" w:cs="Times New Roman"/>
          <w:color w:val="000000"/>
          <w:sz w:val="28"/>
          <w:szCs w:val="28"/>
        </w:rPr>
        <w:t>。</w:t>
      </w:r>
      <w:r>
        <w:rPr>
          <w:rFonts w:hint="eastAsia" w:ascii="仿宋_GB2312" w:hAnsi="仿宋_GB2312" w:eastAsia="仿宋_GB2312" w:cs="仿宋_GB2312"/>
          <w:i w:val="0"/>
          <w:iCs w:val="0"/>
          <w:caps w:val="0"/>
          <w:color w:val="333333"/>
          <w:spacing w:val="0"/>
          <w:sz w:val="28"/>
          <w:szCs w:val="28"/>
          <w:highlight w:val="none"/>
        </w:rPr>
        <w:t>其余时间日常文件通过邮箱、微信发送审核，必要时提供上门服务 、参加公司重大会议等</w:t>
      </w:r>
      <w:r>
        <w:rPr>
          <w:rFonts w:hint="eastAsia" w:ascii="仿宋_GB2312" w:hAnsi="仿宋_GB2312" w:eastAsia="仿宋_GB2312" w:cs="仿宋_GB2312"/>
          <w:i w:val="0"/>
          <w:iCs w:val="0"/>
          <w:caps w:val="0"/>
          <w:color w:val="333333"/>
          <w:spacing w:val="0"/>
          <w:sz w:val="28"/>
          <w:szCs w:val="28"/>
          <w:highlight w:val="none"/>
          <w:lang w:eastAsia="zh-CN"/>
        </w:rPr>
        <w:t>。</w:t>
      </w:r>
    </w:p>
    <w:p w14:paraId="2DCE526B">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第六条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费用的确定与支付 </w:t>
      </w:r>
    </w:p>
    <w:p w14:paraId="3BB54CA5">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（一）收费依据：国家和海南省律师服务收费的现行有效规定。 </w:t>
      </w:r>
    </w:p>
    <w:p w14:paraId="6E989A62">
      <w:pPr>
        <w:snapToGrid w:val="0"/>
        <w:spacing w:line="384" w:lineRule="auto"/>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（二）法律顾问费：每个工作年度为人民币</w:t>
      </w:r>
      <w:r>
        <w:rPr>
          <w:rFonts w:hint="eastAsia" w:ascii="Times New Roman" w:hAnsi="Times New Roman" w:eastAsia="仿宋_GB2312" w:cs="Times New Roman"/>
          <w:color w:val="000000"/>
          <w:sz w:val="28"/>
          <w:szCs w:val="28"/>
        </w:rPr>
        <w:t>（</w:t>
      </w:r>
      <w:r>
        <w:rPr>
          <w:rFonts w:hint="eastAsia" w:ascii="仿宋" w:hAnsi="仿宋" w:eastAsia="仿宋" w:cs="仿宋"/>
          <w:kern w:val="0"/>
          <w:sz w:val="28"/>
          <w:szCs w:val="30"/>
        </w:rPr>
        <w:t>含税）</w:t>
      </w:r>
      <w:r>
        <w:rPr>
          <w:rFonts w:hint="eastAsia"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 xml:space="preserve">  元（大写：   ）</w:t>
      </w:r>
      <w:r>
        <w:rPr>
          <w:rFonts w:hint="eastAsia" w:ascii="仿宋" w:hAnsi="仿宋" w:eastAsia="仿宋" w:cs="仿宋"/>
          <w:kern w:val="0"/>
          <w:sz w:val="28"/>
          <w:szCs w:val="30"/>
        </w:rPr>
        <w:t>。</w:t>
      </w:r>
      <w:r>
        <w:rPr>
          <w:rFonts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法律顾问</w:t>
      </w: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费为综合含税包干价，税率为</w:t>
      </w:r>
      <w:r>
        <w:rPr>
          <w:rFonts w:hint="eastAsia" w:ascii="Times New Roman" w:hAnsi="Times New Roman" w:eastAsia="仿宋_GB2312" w:cs="Times New Roman"/>
          <w:color w:val="000000" w:themeColor="text1"/>
          <w:sz w:val="28"/>
          <w:szCs w:val="28"/>
          <w:highlight w:val="none"/>
          <w:lang w:val="en-US" w:eastAsia="zh-CN" w:bidi="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%，已包含乙方为履行本合同所支出的服务费、编制费、版权费、资料费、食宿费、人工费、交通费、差旅费、税费等全部费用，除双方另有约定外，甲方无需另行支付任何其他费用。</w:t>
      </w:r>
    </w:p>
    <w:p w14:paraId="2E8D315A">
      <w:pPr>
        <w:spacing w:line="600" w:lineRule="exact"/>
        <w:ind w:firstLine="560" w:firstLineChars="200"/>
        <w:jc w:val="both"/>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sz w:val="28"/>
          <w:szCs w:val="28"/>
          <w:highlight w:val="none"/>
          <w:lang w:val="en-US" w:eastAsia="zh-CN"/>
        </w:rPr>
        <w:t>律师服务费分两次支付第一次付款时间为2026年5月30日前支付40%，第二次支付时间为</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乙方服务结束后根据</w:t>
      </w:r>
      <w:r>
        <w:rPr>
          <w:rFonts w:hint="eastAsia" w:ascii="仿宋_GB2312" w:hAnsi="仿宋_GB2312" w:eastAsia="仿宋_GB2312" w:cs="仿宋_GB2312"/>
          <w:color w:val="000000"/>
          <w:sz w:val="28"/>
          <w:szCs w:val="28"/>
          <w:highlight w:val="none"/>
          <w:lang w:val="en-US" w:eastAsia="zh-CN"/>
        </w:rPr>
        <w:t>《海口桂林洋投资发展控股有限公司法律服务标准</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》的服务评价结果</w:t>
      </w:r>
      <w:r>
        <w:rPr>
          <w:rFonts w:hint="eastAsia" w:ascii="仿宋_GB2312" w:hAnsi="仿宋_GB2312" w:eastAsia="仿宋_GB2312" w:cs="仿宋_GB2312"/>
          <w:color w:val="000000"/>
          <w:sz w:val="28"/>
          <w:szCs w:val="28"/>
          <w:highlight w:val="none"/>
          <w:lang w:val="en-US" w:eastAsia="zh-CN"/>
        </w:rPr>
        <w:t>支付剩余服务费，达到《海口桂林洋投资发展控股有限公司法律服务标准</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》中需要扣除服务费的，扣除相应的服务费后支付余款；如评价结果符合</w:t>
      </w:r>
      <w:r>
        <w:rPr>
          <w:rFonts w:hint="eastAsia" w:ascii="仿宋_GB2312" w:hAnsi="仿宋_GB2312" w:eastAsia="仿宋_GB2312" w:cs="仿宋_GB2312"/>
          <w:color w:val="000000"/>
          <w:sz w:val="28"/>
          <w:szCs w:val="28"/>
          <w:highlight w:val="none"/>
          <w:lang w:val="en-US" w:eastAsia="zh-CN"/>
        </w:rPr>
        <w:t>《海口桂林洋投资发展控股有限公司法律服务标准</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》合同解除的条件，甲方有权解除合同并不支付剩余的服务费。</w:t>
      </w:r>
      <w:r>
        <w:rPr>
          <w:rFonts w:hint="eastAsia" w:ascii="仿宋_GB2312" w:hAnsi="仿宋_GB2312" w:eastAsia="仿宋_GB2312" w:cs="仿宋_GB2312"/>
          <w:sz w:val="28"/>
          <w:szCs w:val="28"/>
          <w:highlight w:val="none"/>
        </w:rPr>
        <w:t>每次付款前，</w:t>
      </w:r>
      <w:r>
        <w:rPr>
          <w:rFonts w:hint="eastAsia" w:ascii="仿宋_GB2312" w:hAnsi="仿宋_GB2312" w:eastAsia="仿宋_GB2312" w:cs="仿宋_GB2312"/>
          <w:sz w:val="28"/>
          <w:szCs w:val="28"/>
          <w:highlight w:val="none"/>
          <w:lang w:val="en-US" w:eastAsia="zh-CN"/>
        </w:rPr>
        <w:t>乙方</w:t>
      </w:r>
      <w:r>
        <w:rPr>
          <w:rFonts w:hint="eastAsia" w:ascii="仿宋_GB2312" w:hAnsi="仿宋_GB2312" w:eastAsia="仿宋_GB2312" w:cs="仿宋_GB2312"/>
          <w:sz w:val="28"/>
          <w:szCs w:val="28"/>
          <w:highlight w:val="none"/>
        </w:rPr>
        <w:t>应提供合法有效的增值税专用发票，否则</w:t>
      </w:r>
      <w:r>
        <w:rPr>
          <w:rFonts w:hint="eastAsia" w:ascii="仿宋_GB2312" w:hAnsi="仿宋_GB2312" w:eastAsia="仿宋_GB2312" w:cs="仿宋_GB2312"/>
          <w:sz w:val="28"/>
          <w:szCs w:val="28"/>
          <w:highlight w:val="none"/>
          <w:lang w:val="en-US" w:eastAsia="zh-CN"/>
        </w:rPr>
        <w:t>甲方</w:t>
      </w:r>
      <w:r>
        <w:rPr>
          <w:rFonts w:hint="eastAsia" w:ascii="仿宋_GB2312" w:hAnsi="仿宋_GB2312" w:eastAsia="仿宋_GB2312" w:cs="仿宋_GB2312"/>
          <w:sz w:val="28"/>
          <w:szCs w:val="28"/>
          <w:highlight w:val="none"/>
        </w:rPr>
        <w:t>有权延期付款，并不承担任何责任，由此造成的损失由</w:t>
      </w:r>
      <w:r>
        <w:rPr>
          <w:rFonts w:hint="eastAsia" w:ascii="仿宋_GB2312" w:hAnsi="仿宋_GB2312" w:eastAsia="仿宋_GB2312" w:cs="仿宋_GB2312"/>
          <w:sz w:val="28"/>
          <w:szCs w:val="28"/>
          <w:highlight w:val="none"/>
          <w:lang w:val="en-US" w:eastAsia="zh-CN"/>
        </w:rPr>
        <w:t>乙方</w:t>
      </w:r>
      <w:r>
        <w:rPr>
          <w:rFonts w:hint="eastAsia" w:ascii="仿宋_GB2312" w:hAnsi="仿宋_GB2312" w:eastAsia="仿宋_GB2312" w:cs="仿宋_GB2312"/>
          <w:sz w:val="28"/>
          <w:szCs w:val="28"/>
          <w:highlight w:val="none"/>
        </w:rPr>
        <w:t>承担。如遇国家税率调整，则不含税价格不变，合同含税价及税率相应调整，</w:t>
      </w:r>
      <w:r>
        <w:rPr>
          <w:rFonts w:hint="eastAsia" w:ascii="仿宋_GB2312" w:hAnsi="仿宋_GB2312" w:eastAsia="仿宋_GB2312" w:cs="仿宋_GB2312"/>
          <w:sz w:val="28"/>
          <w:szCs w:val="28"/>
          <w:highlight w:val="none"/>
          <w:lang w:val="en-US" w:eastAsia="zh-CN"/>
        </w:rPr>
        <w:t>乙方</w:t>
      </w:r>
      <w:r>
        <w:rPr>
          <w:rFonts w:hint="eastAsia" w:ascii="仿宋_GB2312" w:hAnsi="仿宋_GB2312" w:eastAsia="仿宋_GB2312" w:cs="仿宋_GB2312"/>
          <w:sz w:val="28"/>
          <w:szCs w:val="28"/>
          <w:highlight w:val="none"/>
        </w:rPr>
        <w:t>应按纳税义务发生时的税率开具增值税发票，税率变化导致价税金额的变更应在进度及结算金额中进行调整。</w:t>
      </w:r>
    </w:p>
    <w:p w14:paraId="4646E88C">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甲方向常年法律顾问本人或其他个人支付的，乙方均不予认可。本合同落款处的乙方账户为收费账户。 </w:t>
      </w:r>
    </w:p>
    <w:p w14:paraId="2533620A">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每次付款前，乙方应向甲方提供等额有效的增值税专用发票，否则甲方有权拒绝付款，甲方因此拒绝付款导致延迟付款的，甲方的支付时限相应顺延，且不视为甲方违约</w:t>
      </w:r>
      <w:r>
        <w:rPr>
          <w:rFonts w:ascii="Times New Roman" w:hAnsi="Times New Roman" w:eastAsia="仿宋_GB2312" w:cs="Times New Roman"/>
          <w:color w:val="000000" w:themeColor="text1"/>
          <w:sz w:val="28"/>
          <w:szCs w:val="28"/>
          <w14:textFill>
            <w14:solidFill>
              <w14:schemeClr w14:val="tx1"/>
            </w14:solidFill>
          </w14:textFill>
        </w:rPr>
        <w:t>。</w:t>
      </w:r>
    </w:p>
    <w:p w14:paraId="6F7FB7A2">
      <w:pPr>
        <w:widowControl/>
        <w:snapToGrid w:val="0"/>
        <w:spacing w:line="360" w:lineRule="auto"/>
        <w:ind w:firstLine="560" w:firstLineChars="200"/>
        <w:jc w:val="left"/>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甲方开票信息如下：</w:t>
      </w:r>
    </w:p>
    <w:p w14:paraId="249468D4">
      <w:pPr>
        <w:widowControl/>
        <w:snapToGrid w:val="0"/>
        <w:spacing w:line="360" w:lineRule="auto"/>
        <w:ind w:firstLine="560" w:firstLineChars="200"/>
        <w:jc w:val="left"/>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纳税人识别号：</w:t>
      </w:r>
    </w:p>
    <w:p w14:paraId="117B06BD">
      <w:pPr>
        <w:widowControl/>
        <w:snapToGrid w:val="0"/>
        <w:spacing w:line="360" w:lineRule="auto"/>
        <w:ind w:firstLine="560" w:firstLineChars="200"/>
        <w:jc w:val="left"/>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地址：</w:t>
      </w:r>
    </w:p>
    <w:p w14:paraId="5549C1AF">
      <w:pPr>
        <w:widowControl/>
        <w:snapToGrid w:val="0"/>
        <w:spacing w:line="360" w:lineRule="auto"/>
        <w:ind w:firstLine="560" w:firstLineChars="200"/>
        <w:jc w:val="left"/>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电话：</w:t>
      </w:r>
    </w:p>
    <w:p w14:paraId="0F656C24">
      <w:pPr>
        <w:widowControl/>
        <w:snapToGrid w:val="0"/>
        <w:spacing w:line="360" w:lineRule="auto"/>
        <w:ind w:firstLine="560" w:firstLineChars="200"/>
        <w:jc w:val="left"/>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开户银行：</w:t>
      </w:r>
    </w:p>
    <w:p w14:paraId="7231F673">
      <w:pPr>
        <w:widowControl/>
        <w:snapToGrid w:val="0"/>
        <w:spacing w:line="360" w:lineRule="auto"/>
        <w:ind w:firstLine="560" w:firstLineChars="200"/>
        <w:jc w:val="left"/>
        <w:rPr>
          <w:rFonts w:hint="default"/>
        </w:rPr>
      </w:pPr>
      <w:r>
        <w:rPr>
          <w:rFonts w:hint="default" w:ascii="Times New Roman" w:hAnsi="Times New Roman" w:eastAsia="仿宋_GB2312" w:cs="Times New Roman"/>
          <w:color w:val="000000" w:themeColor="text1"/>
          <w:sz w:val="28"/>
          <w:szCs w:val="28"/>
          <w:lang w:val="en-US" w:eastAsia="zh-CN" w:bidi="zh-CN"/>
          <w14:textFill>
            <w14:solidFill>
              <w14:schemeClr w14:val="tx1"/>
            </w14:solidFill>
          </w14:textFill>
        </w:rPr>
        <w:t>银行账号：</w:t>
      </w:r>
    </w:p>
    <w:p w14:paraId="60FDE87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三</w:t>
      </w:r>
      <w:r>
        <w:rPr>
          <w:rFonts w:hint="default" w:ascii="Times New Roman" w:hAnsi="Times New Roman" w:eastAsia="仿宋_GB2312" w:cs="Times New Roman"/>
          <w:color w:val="000000" w:themeColor="text1"/>
          <w:sz w:val="28"/>
          <w:szCs w:val="28"/>
          <w14:textFill>
            <w14:solidFill>
              <w14:schemeClr w14:val="tx1"/>
            </w14:solidFill>
          </w14:textFill>
        </w:rPr>
        <w:t xml:space="preserve">）甲方就本合同第一条第（三）项所列的法律事务委托乙方办理，应另行签约与支付律师服务费，乙方应给予优惠。 </w:t>
      </w:r>
    </w:p>
    <w:p w14:paraId="0F00F148">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四</w:t>
      </w:r>
      <w:r>
        <w:rPr>
          <w:rFonts w:hint="default" w:ascii="Times New Roman" w:hAnsi="Times New Roman" w:eastAsia="仿宋_GB2312" w:cs="Times New Roman"/>
          <w:color w:val="000000" w:themeColor="text1"/>
          <w:sz w:val="28"/>
          <w:szCs w:val="28"/>
          <w14:textFill>
            <w14:solidFill>
              <w14:schemeClr w14:val="tx1"/>
            </w14:solidFill>
          </w14:textFill>
        </w:rPr>
        <w:t xml:space="preserve">）甲方逾期支付律师服务费的，从逾期之日起，按应付金额每日万分之六支付违约金。经乙方催告后仍未支付律师服务费的，乙方有权解除合同，但应当通知甲方。 </w:t>
      </w:r>
    </w:p>
    <w:p w14:paraId="420E107E">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28"/>
          <w:szCs w:val="28"/>
          <w:highlight w:val="none"/>
          <w14:textFill>
            <w14:solidFill>
              <w14:schemeClr w14:val="tx1"/>
            </w14:solidFill>
          </w14:textFill>
        </w:rPr>
        <w:t>第七条</w:t>
      </w:r>
      <w:r>
        <w:rPr>
          <w:rFonts w:hint="eastAsia" w:ascii="Times New Roman" w:hAnsi="Times New Roman" w:eastAsia="仿宋_GB2312" w:cs="Times New Roman"/>
          <w:b/>
          <w:bCs/>
          <w:color w:val="000000" w:themeColor="text1"/>
          <w:sz w:val="28"/>
          <w:szCs w:val="28"/>
          <w:highlight w:val="none"/>
          <w:lang w:eastAsia="zh-CN"/>
          <w14:textFill>
            <w14:solidFill>
              <w14:schemeClr w14:val="tx1"/>
            </w14:solidFill>
          </w14:textFill>
        </w:rPr>
        <w:t>　</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因乙方律师的过失行为导致甲方蒙受损失，乙方通过其投保</w:t>
      </w:r>
    </w:p>
    <w:p w14:paraId="6F8AA58B">
      <w:pPr>
        <w:keepNext w:val="0"/>
        <w:keepLines w:val="0"/>
        <w:pageBreakBefore w:val="0"/>
        <w:widowControl w:val="0"/>
        <w:kinsoku/>
        <w:wordWrap/>
        <w:overflowPunct/>
        <w:topLinePunct w:val="0"/>
        <w:autoSpaceDE/>
        <w:autoSpaceDN/>
        <w:bidi w:val="0"/>
        <w:adjustRightInd/>
        <w:snapToGrid w:val="0"/>
        <w:spacing w:line="500" w:lineRule="exact"/>
        <w:ind w:firstLine="0" w:firstLineChars="0"/>
        <w:textAlignment w:val="auto"/>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的执业保险向甲方承担过失赔偿责任，赔偿金额以乙方投保的执业保险金额为限。</w:t>
      </w:r>
    </w:p>
    <w:p w14:paraId="63A2536D">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pPr>
    </w:p>
    <w:p w14:paraId="37365A65">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第八条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甲方确认下列通讯方式及联系人是乙方受聘完成甲方常年法律顾问工作向甲方履行通知义务的通讯方式及联系人： </w:t>
      </w:r>
    </w:p>
    <w:p w14:paraId="55B61B47">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u w:val="single"/>
          <w14:textFill>
            <w14:solidFill>
              <w14:schemeClr w14:val="tx1"/>
            </w14:solidFill>
          </w14:textFill>
        </w:rPr>
      </w:pP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eastAsia" w:ascii="Times New Roman" w:hAnsi="Times New Roman" w:eastAsia="仿宋_GB2312" w:cs="Times New Roman"/>
          <w:color w:val="000000" w:themeColor="text1"/>
          <w:sz w:val="28"/>
          <w:szCs w:val="28"/>
          <w:u w:val="single"/>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 xml:space="preserve">。 </w:t>
      </w:r>
    </w:p>
    <w:p w14:paraId="1AF3DED2">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如果甲方变更通讯方式或联系人，需提前七日书面通知乙方。 </w:t>
      </w:r>
    </w:p>
    <w:p w14:paraId="4BAE9E6E">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第九条</w:t>
      </w:r>
      <w:r>
        <w:rPr>
          <w:rFonts w:hint="eastAsia" w:ascii="Times New Roman" w:hAnsi="Times New Roman" w:eastAsia="仿宋_GB2312" w:cs="Times New Roman"/>
          <w:b/>
          <w:bCs/>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因履行本合同发生争议，双方应友好协商；协商不成的，可选择下列第</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1</w:t>
      </w:r>
      <w:r>
        <w:rPr>
          <w:rFonts w:hint="default" w:ascii="Times New Roman" w:hAnsi="Times New Roman" w:eastAsia="仿宋_GB2312" w:cs="Times New Roman"/>
          <w:color w:val="000000" w:themeColor="text1"/>
          <w:sz w:val="28"/>
          <w:szCs w:val="28"/>
          <w14:textFill>
            <w14:solidFill>
              <w14:schemeClr w14:val="tx1"/>
            </w14:solidFill>
          </w14:textFill>
        </w:rPr>
        <w:t xml:space="preserve">种方式解决。 </w:t>
      </w:r>
    </w:p>
    <w:p w14:paraId="5063B489">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1、提交</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海南国际仲裁委</w:t>
      </w:r>
      <w:r>
        <w:rPr>
          <w:rFonts w:hint="default" w:ascii="Times New Roman" w:hAnsi="Times New Roman" w:eastAsia="仿宋_GB2312" w:cs="Times New Roman"/>
          <w:color w:val="000000" w:themeColor="text1"/>
          <w:sz w:val="28"/>
          <w:szCs w:val="28"/>
          <w14:textFill>
            <w14:solidFill>
              <w14:schemeClr w14:val="tx1"/>
            </w14:solidFill>
          </w14:textFill>
        </w:rPr>
        <w:t xml:space="preserve">仲裁； </w:t>
      </w:r>
    </w:p>
    <w:p w14:paraId="6069D916">
      <w:pPr>
        <w:keepNext w:val="0"/>
        <w:keepLines w:val="0"/>
        <w:pageBreakBefore w:val="0"/>
        <w:widowControl w:val="0"/>
        <w:kinsoku/>
        <w:wordWrap/>
        <w:overflowPunct/>
        <w:topLinePunct w:val="0"/>
        <w:autoSpaceDE/>
        <w:autoSpaceDN/>
        <w:bidi w:val="0"/>
        <w:adjustRightInd/>
        <w:snapToGrid w:val="0"/>
        <w:spacing w:line="384" w:lineRule="auto"/>
        <w:ind w:firstLine="560"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2、向人民法院提起诉讼。 </w:t>
      </w:r>
    </w:p>
    <w:p w14:paraId="76EDB59A">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第十条</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本合同一式</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eastAsia" w:ascii="Times New Roman" w:hAnsi="Times New Roman" w:eastAsia="仿宋_GB2312" w:cs="Times New Roman"/>
          <w:color w:val="000000" w:themeColor="text1"/>
          <w:sz w:val="28"/>
          <w:szCs w:val="28"/>
          <w:u w:val="single"/>
          <w:lang w:val="en-US" w:eastAsia="zh-Hans"/>
          <w14:textFill>
            <w14:solidFill>
              <w14:schemeClr w14:val="tx1"/>
            </w14:solidFill>
          </w14:textFill>
        </w:rPr>
        <w:t>四</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份，双方各执</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eastAsia" w:ascii="Times New Roman" w:hAnsi="Times New Roman" w:eastAsia="仿宋_GB2312" w:cs="Times New Roman"/>
          <w:color w:val="000000" w:themeColor="text1"/>
          <w:sz w:val="28"/>
          <w:szCs w:val="28"/>
          <w:u w:val="single"/>
          <w:lang w:val="en-US" w:eastAsia="zh-Hans"/>
          <w14:textFill>
            <w14:solidFill>
              <w14:schemeClr w14:val="tx1"/>
            </w14:solidFill>
          </w14:textFill>
        </w:rPr>
        <w:t>二</w:t>
      </w:r>
      <w:r>
        <w:rPr>
          <w:rFonts w:hint="default" w:ascii="Times New Roman" w:hAnsi="Times New Roman" w:eastAsia="仿宋_GB2312" w:cs="Times New Roman"/>
          <w:color w:val="000000" w:themeColor="text1"/>
          <w:sz w:val="28"/>
          <w:szCs w:val="28"/>
          <w:u w:val="single"/>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 xml:space="preserve">份，自双方签字盖章之日起生效。 </w:t>
      </w:r>
    </w:p>
    <w:p w14:paraId="108A4AD8">
      <w:pPr>
        <w:keepNext w:val="0"/>
        <w:keepLines w:val="0"/>
        <w:pageBreakBefore w:val="0"/>
        <w:widowControl w:val="0"/>
        <w:kinsoku/>
        <w:wordWrap/>
        <w:overflowPunct/>
        <w:topLinePunct w:val="0"/>
        <w:autoSpaceDE/>
        <w:autoSpaceDN/>
        <w:bidi w:val="0"/>
        <w:adjustRightInd/>
        <w:snapToGrid w:val="0"/>
        <w:spacing w:line="384" w:lineRule="auto"/>
        <w:ind w:firstLine="562" w:firstLineChars="200"/>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第十一条</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 xml:space="preserve">甲方承诺：已认真审阅本合同所有格式条款并完全了解其详尽内容；本合同所有条款均属双方平等且完全协商一致而达成。 </w:t>
      </w:r>
    </w:p>
    <w:p w14:paraId="56C86B03">
      <w:pPr>
        <w:snapToGrid w:val="0"/>
        <w:spacing w:line="680" w:lineRule="exact"/>
        <w:ind w:firstLine="562" w:firstLineChars="200"/>
        <w:jc w:val="left"/>
        <w:rPr>
          <w:rFonts w:hint="eastAsia"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b/>
          <w:bCs/>
          <w:color w:val="000000" w:themeColor="text1"/>
          <w:sz w:val="28"/>
          <w:szCs w:val="28"/>
          <w14:textFill>
            <w14:solidFill>
              <w14:schemeClr w14:val="tx1"/>
            </w14:solidFill>
          </w14:textFill>
        </w:rPr>
        <w:t>第十二条</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eastAsia" w:ascii="Times New Roman" w:hAnsi="Times New Roman" w:eastAsia="仿宋_GB2312" w:cs="Times New Roman"/>
          <w:color w:val="000000" w:themeColor="text1"/>
          <w:sz w:val="28"/>
          <w:szCs w:val="28"/>
          <w14:textFill>
            <w14:solidFill>
              <w14:schemeClr w14:val="tx1"/>
            </w14:solidFill>
          </w14:textFill>
        </w:rPr>
        <w:t>乙方是根据中国法律成立的合伙制律师事务所，在国内设有多家办公室。乙方已经在各业务团队、各办公室之间采取了业务隔离和防火墙措施。为避免本合同项下委托事项给乙方及其国内各办公室其他律师造成执业不便，甲方在此确认：除本案代理律师外，乙方及其国内办公室其他律师可以代理甲方对方当事人委托的、与本委托事项无关的、独立于本合同委托事项之外的诉讼及非诉讼案件。本合同其他条款内容与本条款不一致的，以本条款为准</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p>
    <w:p w14:paraId="33F5F232">
      <w:pPr>
        <w:snapToGrid w:val="0"/>
        <w:spacing w:line="680" w:lineRule="exact"/>
        <w:ind w:firstLine="562" w:firstLineChars="200"/>
        <w:jc w:val="left"/>
        <w:rPr>
          <w:rFonts w:hint="default" w:ascii="Times New Roman" w:hAnsi="Times New Roman" w:eastAsia="仿宋_GB2312"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28"/>
          <w:szCs w:val="28"/>
          <w:lang w:val="en-US" w:eastAsia="zh-CN"/>
          <w14:textFill>
            <w14:solidFill>
              <w14:schemeClr w14:val="tx1"/>
            </w14:solidFill>
          </w14:textFill>
        </w:rPr>
        <w:t xml:space="preserve">第十三条  </w:t>
      </w:r>
      <w:r>
        <w:rPr>
          <w:rFonts w:hint="eastAsia" w:ascii="Times New Roman" w:hAnsi="Times New Roman" w:eastAsia="仿宋_GB2312" w:cs="Times New Roman"/>
          <w:b w:val="0"/>
          <w:bCs w:val="0"/>
          <w:color w:val="000000" w:themeColor="text1"/>
          <w:sz w:val="28"/>
          <w:szCs w:val="28"/>
          <w:lang w:val="en-US" w:eastAsia="zh-CN"/>
          <w14:textFill>
            <w14:solidFill>
              <w14:schemeClr w14:val="tx1"/>
            </w14:solidFill>
          </w14:textFill>
        </w:rPr>
        <w:t>其他约定：若乙方出现违背其参与原合同及本协议约定的法律服务竞价比选活动时所签署的《供应商信用承诺函》(附件2)的情形，甲方有权解除合同并要求乙方支付法律顾问费总额30%的违约金。</w:t>
      </w:r>
    </w:p>
    <w:p w14:paraId="3EA48E12">
      <w:pPr>
        <w:snapToGrid w:val="0"/>
        <w:spacing w:line="680" w:lineRule="exact"/>
        <w:ind w:firstLine="560" w:firstLineChars="200"/>
        <w:jc w:val="left"/>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pPr>
    </w:p>
    <w:p w14:paraId="303B3E05">
      <w:pPr>
        <w:snapToGrid w:val="0"/>
        <w:spacing w:line="680" w:lineRule="exact"/>
        <w:jc w:val="left"/>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pPr>
    </w:p>
    <w:p w14:paraId="233D6419">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仿宋" w:hAnsi="仿宋" w:eastAsia="仿宋" w:cs="仿宋"/>
          <w:color w:val="000000"/>
          <w:kern w:val="0"/>
          <w:sz w:val="28"/>
          <w:szCs w:val="28"/>
        </w:rPr>
      </w:pPr>
      <w:r>
        <w:rPr>
          <w:rFonts w:hint="eastAsia" w:ascii="仿宋" w:hAnsi="仿宋" w:eastAsia="仿宋" w:cs="仿宋"/>
          <w:color w:val="000000"/>
          <w:kern w:val="0"/>
          <w:sz w:val="28"/>
          <w:szCs w:val="28"/>
        </w:rPr>
        <w:t>甲方：</w:t>
      </w:r>
      <w:r>
        <w:rPr>
          <w:rFonts w:hint="eastAsia" w:ascii="仿宋" w:hAnsi="仿宋" w:eastAsia="仿宋" w:cs="仿宋"/>
          <w:color w:val="000000"/>
          <w:kern w:val="0"/>
          <w:sz w:val="28"/>
          <w:szCs w:val="28"/>
          <w:lang w:val="en-US" w:eastAsia="en-US"/>
        </w:rPr>
        <w:t>海口桂林洋投资发展控股有限公司</w:t>
      </w:r>
      <w:r>
        <w:rPr>
          <w:rFonts w:hint="default" w:ascii="仿宋" w:hAnsi="仿宋" w:eastAsia="仿宋" w:cs="仿宋"/>
          <w:color w:val="000000"/>
          <w:kern w:val="0"/>
          <w:sz w:val="28"/>
          <w:szCs w:val="28"/>
        </w:rPr>
        <w:t xml:space="preserve">                 </w:t>
      </w:r>
      <w:r>
        <w:rPr>
          <w:rFonts w:hint="eastAsia" w:ascii="仿宋" w:hAnsi="仿宋" w:eastAsia="仿宋" w:cs="仿宋"/>
          <w:color w:val="000000"/>
          <w:kern w:val="0"/>
          <w:sz w:val="28"/>
          <w:szCs w:val="28"/>
        </w:rPr>
        <w:t xml:space="preserve">  </w:t>
      </w:r>
      <w:r>
        <w:rPr>
          <w:rFonts w:hint="default" w:ascii="仿宋" w:hAnsi="仿宋" w:eastAsia="仿宋" w:cs="仿宋"/>
          <w:color w:val="000000"/>
          <w:kern w:val="0"/>
          <w:sz w:val="28"/>
          <w:szCs w:val="28"/>
        </w:rPr>
        <w:t xml:space="preserve">   </w:t>
      </w:r>
    </w:p>
    <w:p w14:paraId="39221C23">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法定代表人：             </w:t>
      </w:r>
      <w:r>
        <w:rPr>
          <w:rFonts w:hint="default" w:ascii="仿宋" w:hAnsi="仿宋" w:eastAsia="仿宋" w:cs="仿宋"/>
          <w:color w:val="000000"/>
          <w:kern w:val="0"/>
          <w:sz w:val="28"/>
          <w:szCs w:val="28"/>
        </w:rPr>
        <w:t xml:space="preserve">    </w:t>
      </w:r>
    </w:p>
    <w:p w14:paraId="54A66CE3">
      <w:pPr>
        <w:keepNext w:val="0"/>
        <w:keepLines w:val="0"/>
        <w:pageBreakBefore w:val="0"/>
        <w:widowControl w:val="0"/>
        <w:kinsoku/>
        <w:wordWrap/>
        <w:overflowPunct/>
        <w:topLinePunct w:val="0"/>
        <w:autoSpaceDE w:val="0"/>
        <w:autoSpaceDN w:val="0"/>
        <w:bidi w:val="0"/>
        <w:adjustRightInd w:val="0"/>
        <w:spacing w:line="480" w:lineRule="auto"/>
        <w:ind w:left="5600" w:right="-204" w:hanging="5600" w:hangingChars="2000"/>
        <w:textAlignment w:val="auto"/>
        <w:rPr>
          <w:rFonts w:hint="eastAsia" w:ascii="仿宋" w:hAnsi="仿宋" w:eastAsia="仿宋" w:cs="仿宋"/>
          <w:color w:val="000000"/>
          <w:spacing w:val="-18"/>
          <w:kern w:val="0"/>
          <w:sz w:val="28"/>
          <w:szCs w:val="28"/>
          <w:lang w:val="en-US" w:eastAsia="zh-CN"/>
        </w:rPr>
      </w:pPr>
      <w:r>
        <w:rPr>
          <w:rFonts w:hint="eastAsia" w:ascii="仿宋" w:hAnsi="仿宋" w:eastAsia="仿宋" w:cs="仿宋"/>
          <w:color w:val="000000"/>
          <w:kern w:val="0"/>
          <w:sz w:val="28"/>
          <w:szCs w:val="28"/>
        </w:rPr>
        <w:t xml:space="preserve">地址：                        </w:t>
      </w:r>
    </w:p>
    <w:p w14:paraId="31700CCA">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电话：                       </w:t>
      </w:r>
      <w:r>
        <w:rPr>
          <w:rFonts w:hint="default" w:ascii="仿宋" w:hAnsi="仿宋" w:eastAsia="仿宋" w:cs="仿宋"/>
          <w:color w:val="000000"/>
          <w:kern w:val="0"/>
          <w:sz w:val="28"/>
          <w:szCs w:val="28"/>
        </w:rPr>
        <w:t xml:space="preserve"> </w:t>
      </w:r>
    </w:p>
    <w:p w14:paraId="0D06393F">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开户行：                      </w:t>
      </w:r>
      <w:r>
        <w:rPr>
          <w:rFonts w:hint="default" w:ascii="仿宋" w:hAnsi="仿宋" w:eastAsia="仿宋" w:cs="仿宋"/>
          <w:color w:val="000000"/>
          <w:kern w:val="0"/>
          <w:sz w:val="28"/>
          <w:szCs w:val="28"/>
        </w:rPr>
        <w:t xml:space="preserve"> </w:t>
      </w:r>
    </w:p>
    <w:p w14:paraId="7BF03406">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账号：                        </w:t>
      </w:r>
      <w:r>
        <w:rPr>
          <w:rFonts w:hint="eastAsia" w:ascii="仿宋" w:hAnsi="仿宋" w:eastAsia="仿宋" w:cs="仿宋"/>
          <w:color w:val="000000"/>
          <w:kern w:val="0"/>
          <w:sz w:val="28"/>
          <w:szCs w:val="28"/>
          <w:lang w:val="en-US" w:eastAsia="zh-CN"/>
        </w:rPr>
        <w:t xml:space="preserve">  </w:t>
      </w:r>
    </w:p>
    <w:p w14:paraId="39D0851E">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default" w:ascii="仿宋" w:hAnsi="仿宋" w:eastAsia="仿宋" w:cs="仿宋"/>
          <w:color w:val="000000"/>
          <w:kern w:val="0"/>
          <w:sz w:val="28"/>
          <w:szCs w:val="28"/>
        </w:rPr>
      </w:pPr>
      <w:r>
        <w:rPr>
          <w:rFonts w:hint="default" w:ascii="仿宋" w:hAnsi="仿宋" w:eastAsia="仿宋" w:cs="仿宋"/>
          <w:color w:val="000000"/>
          <w:kern w:val="0"/>
          <w:sz w:val="28"/>
          <w:szCs w:val="28"/>
        </w:rPr>
        <w:t xml:space="preserve"> </w:t>
      </w:r>
    </w:p>
    <w:p w14:paraId="5F78D2F7">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乙方：</w:t>
      </w:r>
    </w:p>
    <w:p w14:paraId="150A5AD6">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法定代表人：</w:t>
      </w:r>
    </w:p>
    <w:p w14:paraId="6AA6148A">
      <w:pPr>
        <w:keepNext w:val="0"/>
        <w:keepLines w:val="0"/>
        <w:pageBreakBefore w:val="0"/>
        <w:widowControl w:val="0"/>
        <w:kinsoku/>
        <w:wordWrap/>
        <w:overflowPunct/>
        <w:topLinePunct w:val="0"/>
        <w:autoSpaceDE w:val="0"/>
        <w:autoSpaceDN w:val="0"/>
        <w:bidi w:val="0"/>
        <w:adjustRightInd w:val="0"/>
        <w:spacing w:line="480" w:lineRule="auto"/>
        <w:ind w:left="5600" w:right="-204" w:hanging="5600" w:hangingChars="2000"/>
        <w:textAlignment w:val="auto"/>
        <w:rPr>
          <w:rFonts w:hint="eastAsia" w:ascii="仿宋" w:hAnsi="仿宋" w:eastAsia="仿宋" w:cs="仿宋"/>
          <w:color w:val="000000"/>
          <w:spacing w:val="-18"/>
          <w:kern w:val="0"/>
          <w:sz w:val="28"/>
          <w:szCs w:val="28"/>
          <w:lang w:val="en-US" w:eastAsia="zh-CN"/>
        </w:rPr>
      </w:pPr>
      <w:r>
        <w:rPr>
          <w:rFonts w:hint="eastAsia" w:ascii="仿宋" w:hAnsi="仿宋" w:eastAsia="仿宋" w:cs="仿宋"/>
          <w:color w:val="000000"/>
          <w:kern w:val="0"/>
          <w:sz w:val="28"/>
          <w:szCs w:val="28"/>
        </w:rPr>
        <w:t>地址：</w:t>
      </w:r>
    </w:p>
    <w:p w14:paraId="1C46240F">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电话：</w:t>
      </w:r>
    </w:p>
    <w:p w14:paraId="14047C3E">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开户行：</w:t>
      </w:r>
    </w:p>
    <w:p w14:paraId="467E9EA2">
      <w:pPr>
        <w:keepNext w:val="0"/>
        <w:keepLines w:val="0"/>
        <w:pageBreakBefore w:val="0"/>
        <w:widowControl w:val="0"/>
        <w:kinsoku/>
        <w:wordWrap/>
        <w:overflowPunct/>
        <w:topLinePunct w:val="0"/>
        <w:autoSpaceDE w:val="0"/>
        <w:autoSpaceDN w:val="0"/>
        <w:bidi w:val="0"/>
        <w:adjustRightInd w:val="0"/>
        <w:spacing w:line="480" w:lineRule="auto"/>
        <w:ind w:right="-204"/>
        <w:textAlignment w:val="auto"/>
        <w:rPr>
          <w:rFonts w:hint="default" w:ascii="仿宋" w:hAnsi="仿宋" w:eastAsia="仿宋" w:cs="仿宋"/>
          <w:color w:val="000000"/>
          <w:kern w:val="0"/>
          <w:sz w:val="28"/>
          <w:szCs w:val="28"/>
        </w:rPr>
      </w:pPr>
      <w:r>
        <w:rPr>
          <w:rFonts w:hint="eastAsia" w:ascii="仿宋" w:hAnsi="仿宋" w:eastAsia="仿宋" w:cs="仿宋"/>
          <w:color w:val="000000"/>
          <w:kern w:val="0"/>
          <w:sz w:val="28"/>
          <w:szCs w:val="28"/>
        </w:rPr>
        <w:t>账号：</w:t>
      </w:r>
    </w:p>
    <w:p w14:paraId="3A0F202D">
      <w:pPr>
        <w:keepNext w:val="0"/>
        <w:keepLines w:val="0"/>
        <w:pageBreakBefore w:val="0"/>
        <w:widowControl w:val="0"/>
        <w:kinsoku/>
        <w:wordWrap/>
        <w:overflowPunct/>
        <w:topLinePunct w:val="0"/>
        <w:bidi w:val="0"/>
        <w:snapToGrid w:val="0"/>
        <w:spacing w:line="480" w:lineRule="auto"/>
        <w:ind w:firstLine="1960" w:firstLineChars="700"/>
        <w:jc w:val="left"/>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p>
    <w:p w14:paraId="4E474C6C">
      <w:pPr>
        <w:keepNext w:val="0"/>
        <w:keepLines w:val="0"/>
        <w:pageBreakBefore w:val="0"/>
        <w:widowControl w:val="0"/>
        <w:kinsoku/>
        <w:wordWrap/>
        <w:overflowPunct/>
        <w:topLinePunct w:val="0"/>
        <w:bidi w:val="0"/>
        <w:snapToGrid w:val="0"/>
        <w:spacing w:line="480" w:lineRule="auto"/>
        <w:ind w:firstLine="0" w:firstLineChars="0"/>
        <w:jc w:val="center"/>
        <w:textAlignment w:val="auto"/>
        <w:rPr>
          <w:rFonts w:hint="default" w:ascii="Times New Roman" w:hAnsi="Times New Roman" w:eastAsia="仿宋_GB2312" w:cs="Times New Roman"/>
        </w:rPr>
      </w:pPr>
      <w:r>
        <w:rPr>
          <w:rFonts w:hint="default" w:ascii="Times New Roman" w:hAnsi="Times New Roman" w:eastAsia="仿宋_GB2312" w:cs="Times New Roman"/>
          <w:color w:val="000000" w:themeColor="text1"/>
          <w:sz w:val="28"/>
          <w:szCs w:val="28"/>
          <w14:textFill>
            <w14:solidFill>
              <w14:schemeClr w14:val="tx1"/>
            </w14:solidFill>
          </w14:textFill>
        </w:rPr>
        <w:t>签约日期：</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年</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月</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z w:val="28"/>
          <w:szCs w:val="28"/>
          <w14:textFill>
            <w14:solidFill>
              <w14:schemeClr w14:val="tx1"/>
            </w14:solidFill>
          </w14:textFill>
        </w:rPr>
        <w:t>日</w:t>
      </w:r>
    </w:p>
    <w:p w14:paraId="60280A1C">
      <w:pPr>
        <w:pStyle w:val="5"/>
        <w:keepNext w:val="0"/>
        <w:keepLines w:val="0"/>
        <w:pageBreakBefore w:val="0"/>
        <w:widowControl w:val="0"/>
        <w:kinsoku/>
        <w:wordWrap/>
        <w:overflowPunct/>
        <w:topLinePunct w:val="0"/>
        <w:bidi w:val="0"/>
        <w:spacing w:before="8" w:line="480" w:lineRule="auto"/>
        <w:textAlignment w:val="auto"/>
        <w:rPr>
          <w:rFonts w:hint="default" w:ascii="Times New Roman" w:hAnsi="Times New Roman" w:eastAsia="仿宋_GB2312" w:cs="Times New Roman"/>
          <w:sz w:val="25"/>
        </w:rPr>
      </w:pPr>
    </w:p>
    <w:p w14:paraId="58A4A19F">
      <w:pPr>
        <w:pStyle w:val="5"/>
        <w:keepNext w:val="0"/>
        <w:keepLines w:val="0"/>
        <w:pageBreakBefore w:val="0"/>
        <w:widowControl w:val="0"/>
        <w:kinsoku/>
        <w:wordWrap/>
        <w:overflowPunct/>
        <w:topLinePunct w:val="0"/>
        <w:bidi w:val="0"/>
        <w:spacing w:line="480" w:lineRule="auto"/>
        <w:ind w:left="0"/>
        <w:jc w:val="center"/>
        <w:textAlignment w:val="auto"/>
        <w:rPr>
          <w:rFonts w:hint="eastAsia" w:ascii="Times New Roman" w:hAnsi="Times New Roman" w:cs="Times New Roman"/>
          <w:lang w:val="en-US" w:eastAsia="zh-CN"/>
        </w:rPr>
      </w:pPr>
      <w:r>
        <w:rPr>
          <w:rFonts w:hint="default" w:ascii="Times New Roman" w:hAnsi="Times New Roman" w:eastAsia="仿宋_GB2312" w:cs="Times New Roman"/>
        </w:rPr>
        <w:t>海南省法律服务监督投诉电话：（0898）65919</w:t>
      </w:r>
      <w:r>
        <w:rPr>
          <w:rFonts w:hint="eastAsia" w:ascii="Times New Roman" w:hAnsi="Times New Roman" w:cs="Times New Roman"/>
          <w:lang w:val="en-US" w:eastAsia="zh-CN"/>
        </w:rPr>
        <w:t>109</w:t>
      </w:r>
      <w:r>
        <w:rPr>
          <w:rFonts w:hint="default" w:ascii="Times New Roman" w:hAnsi="Times New Roman" w:eastAsia="仿宋_GB2312" w:cs="Times New Roman"/>
        </w:rPr>
        <w:t>、6616</w:t>
      </w:r>
      <w:r>
        <w:rPr>
          <w:rFonts w:hint="eastAsia" w:ascii="Times New Roman" w:hAnsi="Times New Roman" w:cs="Times New Roman"/>
          <w:lang w:val="en-US" w:eastAsia="zh-CN"/>
        </w:rPr>
        <w:t>1215</w:t>
      </w:r>
    </w:p>
    <w:p w14:paraId="25677057">
      <w:pPr>
        <w:pStyle w:val="5"/>
        <w:keepNext w:val="0"/>
        <w:keepLines w:val="0"/>
        <w:pageBreakBefore w:val="0"/>
        <w:widowControl w:val="0"/>
        <w:kinsoku/>
        <w:wordWrap/>
        <w:overflowPunct/>
        <w:topLinePunct w:val="0"/>
        <w:bidi w:val="0"/>
        <w:spacing w:line="480" w:lineRule="auto"/>
        <w:ind w:left="0"/>
        <w:jc w:val="center"/>
        <w:textAlignment w:val="auto"/>
        <w:rPr>
          <w:rFonts w:hint="eastAsia" w:ascii="Times New Roman" w:hAnsi="Times New Roman" w:cs="Times New Roman"/>
          <w:lang w:val="en-US" w:eastAsia="zh-CN"/>
        </w:rPr>
      </w:pPr>
    </w:p>
    <w:p w14:paraId="6C09B5A3">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此页无正文</w:t>
      </w:r>
    </w:p>
    <w:p w14:paraId="6294DE11">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default" w:ascii="Times New Roman" w:hAnsi="Times New Roman" w:cs="Times New Roman"/>
          <w:lang w:val="en-US" w:eastAsia="zh-CN"/>
        </w:rPr>
      </w:pPr>
    </w:p>
    <w:p w14:paraId="3B0DBC0A">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default" w:ascii="Times New Roman" w:hAnsi="Times New Roman" w:cs="Times New Roman"/>
          <w:lang w:val="en-US" w:eastAsia="zh-CN"/>
        </w:rPr>
      </w:pPr>
    </w:p>
    <w:p w14:paraId="14B3C1CA">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附件：1.法律服务标准</w:t>
      </w:r>
    </w:p>
    <w:p w14:paraId="71F607CA">
      <w:pPr>
        <w:pStyle w:val="5"/>
        <w:keepNext w:val="0"/>
        <w:keepLines w:val="0"/>
        <w:pageBreakBefore w:val="0"/>
        <w:widowControl w:val="0"/>
        <w:kinsoku/>
        <w:wordWrap/>
        <w:overflowPunct/>
        <w:topLinePunct w:val="0"/>
        <w:bidi w:val="0"/>
        <w:spacing w:line="480" w:lineRule="auto"/>
        <w:ind w:left="0" w:firstLine="1400" w:firstLineChars="500"/>
        <w:jc w:val="both"/>
        <w:textAlignment w:val="auto"/>
        <w:rPr>
          <w:rFonts w:hint="default" w:ascii="Times New Roman" w:hAnsi="Times New Roman" w:cs="Times New Roman"/>
          <w:lang w:val="en-US" w:eastAsia="zh-CN"/>
        </w:rPr>
        <w:sectPr>
          <w:footerReference r:id="rId3" w:type="default"/>
          <w:pgSz w:w="11906" w:h="16838"/>
          <w:pgMar w:top="1440" w:right="1417" w:bottom="1440" w:left="1417" w:header="851" w:footer="992" w:gutter="0"/>
          <w:pgNumType w:fmt="decimal" w:start="1"/>
          <w:cols w:space="425" w:num="1"/>
          <w:docGrid w:type="lines" w:linePitch="312" w:charSpace="0"/>
        </w:sectPr>
      </w:pPr>
      <w:r>
        <w:rPr>
          <w:rFonts w:hint="eastAsia" w:ascii="Times New Roman" w:hAnsi="Times New Roman" w:cs="Times New Roman"/>
          <w:lang w:val="en-US" w:eastAsia="zh-CN"/>
        </w:rPr>
        <w:t>2.《供应商信用承诺函》</w:t>
      </w:r>
    </w:p>
    <w:p w14:paraId="2B9E8060">
      <w:p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14:paraId="064BA643">
      <w:pPr>
        <w:spacing w:line="600" w:lineRule="exact"/>
        <w:ind w:firstLine="1320" w:firstLineChars="300"/>
        <w:jc w:val="both"/>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海口桂林洋投资发展控股有限公司</w:t>
      </w:r>
    </w:p>
    <w:p w14:paraId="7FCC77BC">
      <w:pPr>
        <w:spacing w:line="6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法律服务标准</w:t>
      </w:r>
    </w:p>
    <w:p w14:paraId="74047D00">
      <w:pPr>
        <w:numPr>
          <w:ilvl w:val="0"/>
          <w:numId w:val="0"/>
        </w:numPr>
        <w:jc w:val="left"/>
        <w:rPr>
          <w:rFonts w:hint="eastAsia"/>
          <w:b/>
          <w:bCs/>
          <w:sz w:val="28"/>
          <w:szCs w:val="28"/>
          <w:lang w:val="en-US" w:eastAsia="zh-CN"/>
        </w:rPr>
      </w:pPr>
    </w:p>
    <w:p w14:paraId="00DD1A26">
      <w:pPr>
        <w:numPr>
          <w:ilvl w:val="0"/>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一、合同审核标准</w:t>
      </w:r>
    </w:p>
    <w:p w14:paraId="170EC846">
      <w:pPr>
        <w:numPr>
          <w:ilvl w:val="0"/>
          <w:numId w:val="0"/>
        </w:numPr>
        <w:ind w:firstLine="56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（一）审核依据</w:t>
      </w:r>
    </w:p>
    <w:p w14:paraId="433F98BB">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华人民共和国民法典》《中华人民共和国公司法》等法律、行政法规，国务院制定的除行政法规外的其他规范性文件，司法解释，最高人民法院制定的除司法解释外的其他规范性文件，部门规章，国务院各部、委员会、中国人民银行、审计署和具有行政管理职能的直属机构制定的除部门规章、地方司法指导性文件及公司章程等内部文件。</w:t>
      </w:r>
    </w:p>
    <w:p w14:paraId="5F34527C">
      <w:pPr>
        <w:numPr>
          <w:ilvl w:val="0"/>
          <w:numId w:val="0"/>
        </w:numPr>
        <w:ind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（二）审核具体内容</w:t>
      </w:r>
    </w:p>
    <w:p w14:paraId="4F33ABAD">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从合法合规性、完整性、可操作性、公平性、合理性等多个维度进行，具体内容包括但不限于以下方面：</w:t>
      </w:r>
    </w:p>
    <w:p w14:paraId="0F230AD7">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1.审查合同文本是否存在违反法律法规、规章、政策的情形，所适用的法律、法规是否存在已失效的情形，是否存在违反集团规定的情形。</w:t>
      </w:r>
    </w:p>
    <w:p w14:paraId="3CA43237">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2.审查合同是否存在无效或可撤销的情形，例如是否存在欺诈、胁迫、恶意串通等情形，是否存在生效日期约定不清楚的情形。</w:t>
      </w:r>
    </w:p>
    <w:p w14:paraId="1413430A">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3.审核合同双方是否具备签订和履行合同的资格，确认签约代表是否获得合法授权，评估对方的资信状况、经营能力等，防范履约风险。</w:t>
      </w:r>
    </w:p>
    <w:p w14:paraId="12618DB1">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审核合同中条款是否齐备，合同条款之间是否逻辑通顺、形式规范，合同条款所展示的内容是否符合一般思维模式和交易流程。明确标的物的名称、规格、数量、质量等，确保清晰无歧义。核实价格是否明确，付款方式、时间、条件是否合理。审核交货时间、地点、方式，以及验收标准、流程等。明确违约情形、违约金或赔偿金的计算方式，确保具有可操作性。审核争议解决方式、管辖地等条款，确保符合企业利益。确保保密范围、期限、责任等条款明确，保护商业秘密。明确知识产权的归属、使用范围及侵权责任。明确不可抗力的范围及后果，合理分配风险。</w:t>
      </w:r>
    </w:p>
    <w:p w14:paraId="7ADCFBB4">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5.审查合同中各方的权利义务是否公平合理、是否存在显失公平或重大误解的情形。各方权利义务、分配合同风险及各方违约责任是否基于当前市场经济交易秩序和交易规则而言相对公平。</w:t>
      </w:r>
    </w:p>
    <w:p w14:paraId="2EE7AB69">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6.检查合同文本的格式是否规范，文字表述是否清晰。核实合同附件是否齐全，与主合同内容是否一致。</w:t>
      </w:r>
    </w:p>
    <w:p w14:paraId="5D13498C">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7.审查合同条款是否在法律允许范围内对本集团进行适当有利倾斜。</w:t>
      </w:r>
    </w:p>
    <w:p w14:paraId="60B89D38">
      <w:pPr>
        <w:numPr>
          <w:ilvl w:val="-1"/>
          <w:numId w:val="0"/>
        </w:numPr>
        <w:ind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（三）关注风险点</w:t>
      </w:r>
    </w:p>
    <w:p w14:paraId="42782B3F">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1.主体风险：合同主体不具备签约资格或履约能力；签约代表未经授权或超越授权范围。</w:t>
      </w:r>
    </w:p>
    <w:p w14:paraId="7F261F88">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条款风险：标的条款不明确，导致履行过程中产生争议；价格条款模糊，可能引发付款纠纷；违约责任要体现公平合理性避免约定不明确或过高/过低，导致无法有效约束对方或承担过高风险；争议解决条款不合理，如管辖地不利于己方。</w:t>
      </w:r>
    </w:p>
    <w:p w14:paraId="7254F8C1">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履行风险：交货时间、地点、方式不明确，导致履行困难；验收标准不清晰，可能引发质量争议；付款条件过于苛刻或宽松，影响资金安全或流动性。同时审查合同中所载明的合同义务条款是否存在明显漏洞，是否可能导致存在履约风险。</w:t>
      </w:r>
    </w:p>
    <w:p w14:paraId="34F05F25">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4.法律风险：合同内容违反法律法规的强制性规定，导致合同无效或部分无效；合同条款显失公平，可能被撤销或变更。</w:t>
      </w:r>
    </w:p>
    <w:p w14:paraId="7A52E77A">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5.商业风险：合同未充分考虑市场变化、政策调整等外部因素，导致履行困难；合同未明确风险分担机制，如不可抗力、情势变更等情形下的责任分配。</w:t>
      </w:r>
    </w:p>
    <w:p w14:paraId="74A143B6">
      <w:pPr>
        <w:numPr>
          <w:ilvl w:val="-1"/>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二、重大决策咨询类审核标准</w:t>
      </w:r>
    </w:p>
    <w:p w14:paraId="0C5654E3">
      <w:pPr>
        <w:numPr>
          <w:ilvl w:val="-1"/>
          <w:numId w:val="0"/>
        </w:numPr>
        <w:ind w:left="280" w:leftChars="0" w:firstLine="320" w:firstLineChars="1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（一）审核依据</w:t>
      </w:r>
    </w:p>
    <w:p w14:paraId="514644EE">
      <w:pPr>
        <w:numPr>
          <w:ilvl w:val="0"/>
          <w:numId w:val="0"/>
        </w:numPr>
        <w:ind w:firstLine="56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华人民共和国民法典》《中华人民共和国公司法》等法律、行政法规，国务院制定的除行政法规外的其他规范性文件，司法解释，最高人民法院制定的除司法解释外的其他规范性文件，部门规章，国务院各部、委员会、中国人民银行、审计署和具有行政管理职能的直属机构制定的除部门规章、地方司法指导性文件及公司章程等内部文件，国家省市国资监管规则以及与重大决策事项有关的相关规定。</w:t>
      </w:r>
    </w:p>
    <w:p w14:paraId="16521F2F">
      <w:pPr>
        <w:numPr>
          <w:ilvl w:val="0"/>
          <w:numId w:val="0"/>
        </w:numPr>
        <w:ind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（二）审核具体内容</w:t>
      </w:r>
    </w:p>
    <w:p w14:paraId="6F837CE7">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从决策事项合法性合规性、决策流程合法合规性等多个维度进行，具体内容包括但不限于以下方面：</w:t>
      </w:r>
    </w:p>
    <w:p w14:paraId="21C5B147">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1.审查决策内容是否合法合规，是否符合公司发展战略和股东利益。</w:t>
      </w:r>
    </w:p>
    <w:p w14:paraId="6413D74F">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2.审查决策内容是否存在重大法律风险，例如是否存在明显瑕疵、反垄断、知识产权、环境保护等方面的风险。</w:t>
      </w:r>
    </w:p>
    <w:p w14:paraId="73B6B2BE">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3.是否符合国有企业决策流程及要求，是否符合国资监管要求、是否履行章程或公司内部制度要求的决策或审批程序。</w:t>
      </w:r>
    </w:p>
    <w:p w14:paraId="7136CD44">
      <w:pPr>
        <w:numPr>
          <w:ilvl w:val="-1"/>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4.决策文件是否完整；表述是否清晰无歧义，是否明确责任主体与执行机制。</w:t>
      </w:r>
    </w:p>
    <w:p w14:paraId="68E9D527">
      <w:pPr>
        <w:numPr>
          <w:ilvl w:val="0"/>
          <w:numId w:val="0"/>
        </w:numPr>
        <w:ind w:left="280" w:leftChars="0"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（三）关注风险点</w:t>
      </w:r>
    </w:p>
    <w:p w14:paraId="53EC9BDD">
      <w:pPr>
        <w:numPr>
          <w:ilvl w:val="0"/>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1.法律合规风险：决策事项本身是否存在因违反法律法规或政策变动而面临合规风险。提示决策事项涉及其他商业、审计等风险。</w:t>
      </w:r>
    </w:p>
    <w:p w14:paraId="68E06023">
      <w:pPr>
        <w:numPr>
          <w:ilvl w:val="0"/>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2.程序瑕疵风险：事项是否经</w:t>
      </w:r>
      <w:r>
        <w:rPr>
          <w:rFonts w:hint="eastAsia" w:ascii="仿宋_GB2312" w:hAnsi="仿宋_GB2312" w:eastAsia="仿宋_GB2312" w:cs="仿宋_GB2312"/>
          <w:sz w:val="32"/>
          <w:szCs w:val="32"/>
          <w:highlight w:val="none"/>
          <w:lang w:val="en-US" w:eastAsia="zh-CN"/>
        </w:rPr>
        <w:t>支委会</w:t>
      </w:r>
      <w:r>
        <w:rPr>
          <w:rFonts w:hint="eastAsia" w:ascii="仿宋_GB2312" w:hAnsi="仿宋_GB2312" w:eastAsia="仿宋_GB2312" w:cs="仿宋_GB2312"/>
          <w:sz w:val="32"/>
          <w:szCs w:val="32"/>
          <w:lang w:val="en-US" w:eastAsia="zh-CN"/>
        </w:rPr>
        <w:t>前置研究，是否符合公司内部议事流程及公司制度规定。</w:t>
      </w:r>
    </w:p>
    <w:p w14:paraId="0291A82C">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3.执行风险：决策事项是否包含配套实施方案。</w:t>
      </w:r>
    </w:p>
    <w:p w14:paraId="4F09A0F8">
      <w:pPr>
        <w:numPr>
          <w:ilvl w:val="0"/>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三、公司制度文件审核标准</w:t>
      </w:r>
    </w:p>
    <w:p w14:paraId="7D6B8574">
      <w:pPr>
        <w:numPr>
          <w:ilvl w:val="0"/>
          <w:numId w:val="0"/>
        </w:numPr>
        <w:ind w:left="0" w:leftChars="0"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（一）审核依据</w:t>
      </w:r>
    </w:p>
    <w:p w14:paraId="4648E0F1">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1.外部法规依据：《中华人民共和国公司法》《中华人民共和国企业国有资产法》《关于全面推进法治央企建设的意见》、各专项领域行业监管政策等通用法律规范等。</w:t>
      </w:r>
    </w:p>
    <w:p w14:paraId="12F1EE03">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2.内部制度依据：公司章程及法人治理结构文件、企业现行有效制度体系、</w:t>
      </w:r>
      <w:r>
        <w:rPr>
          <w:rFonts w:hint="eastAsia" w:ascii="仿宋_GB2312" w:hAnsi="仿宋_GB2312" w:eastAsia="仿宋_GB2312" w:cs="仿宋_GB2312"/>
          <w:sz w:val="32"/>
          <w:szCs w:val="32"/>
          <w:highlight w:val="none"/>
          <w:lang w:val="en-US" w:eastAsia="zh-CN"/>
        </w:rPr>
        <w:t>“三重一大”</w:t>
      </w:r>
      <w:r>
        <w:rPr>
          <w:rFonts w:hint="eastAsia" w:ascii="仿宋_GB2312" w:hAnsi="仿宋_GB2312" w:eastAsia="仿宋_GB2312" w:cs="仿宋_GB2312"/>
          <w:sz w:val="32"/>
          <w:szCs w:val="32"/>
          <w:lang w:val="en-US" w:eastAsia="zh-CN"/>
        </w:rPr>
        <w:t>审批权限清单、合规管理体系建设专项规划等。</w:t>
      </w:r>
    </w:p>
    <w:p w14:paraId="60EE6F58">
      <w:pPr>
        <w:numPr>
          <w:ilvl w:val="0"/>
          <w:numId w:val="0"/>
        </w:numPr>
        <w:ind w:left="280" w:leftChars="0" w:firstLine="56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（二）审核具体内容</w:t>
      </w:r>
    </w:p>
    <w:p w14:paraId="5349FD83">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1.合法性审查：内容上，制度条款是否违反法律、行政法规禁止性规定，是否符合公司业务实际情况。程序上，涉及员工切身利益的制度是否履行民主程序。权限上，制度制定主体是否符合公司章程授权。</w:t>
      </w:r>
    </w:p>
    <w:p w14:paraId="6348E5B4">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2.合规性、协调性审查：是否符合国资委对国企的特殊要求。制度层级是否清新、制度之间是否存在冲突、新制度是否与上级单位制度冲突、不同部门之间制度是否存在矛盾。</w:t>
      </w:r>
    </w:p>
    <w:p w14:paraId="5770CA44">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3.可操作性审查：制度上，责任主体、流程节点、标准是否清晰。执行中，是否配套审批流程、表单模板、信息系统支持。</w:t>
      </w:r>
    </w:p>
    <w:p w14:paraId="782F7842">
      <w:pPr>
        <w:numPr>
          <w:ilvl w:val="0"/>
          <w:numId w:val="0"/>
        </w:numPr>
        <w:ind w:left="280" w:leftChars="0" w:firstLine="56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（三）关注风险点</w:t>
      </w:r>
    </w:p>
    <w:p w14:paraId="5F123323">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1.制度条款是否违反法律强制规定，导致无效或行政处罚。制度文件有无上位法规、制度依据，属于基本管理制度或是部门制度文件，文件出台流程及审批层级是否符合法律及公司内部文件规定。</w:t>
      </w:r>
    </w:p>
    <w:p w14:paraId="539CABAC">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2.制度文件规定事项适用范围、责任部门权责及分工、流程安排等是否符合法律及公司业务实际情况，有无优化空间，提供操作建议。</w:t>
      </w:r>
    </w:p>
    <w:p w14:paraId="2EA475B1">
      <w:pPr>
        <w:numPr>
          <w:ilvl w:val="0"/>
          <w:numId w:val="0"/>
        </w:numPr>
        <w:ind w:left="280" w:leftChars="0"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3.制度是否与实际操作脱节，制度归口制定部门及有效期限是否合理。制度是否与现行公司制度所规定内容相互冲突等。</w:t>
      </w:r>
    </w:p>
    <w:p w14:paraId="78FD53A5">
      <w:pPr>
        <w:numPr>
          <w:ilvl w:val="0"/>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四、专项委托服务事项审核标准</w:t>
      </w:r>
    </w:p>
    <w:p w14:paraId="0D25BFF9">
      <w:pPr>
        <w:numPr>
          <w:ilvl w:val="0"/>
          <w:numId w:val="0"/>
        </w:numPr>
        <w:ind w:firstLine="56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（一）审核依据</w:t>
      </w:r>
    </w:p>
    <w:p w14:paraId="3F13416C">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委托事项不同适用专门的法律法规规定。包括但不限于《中华人民共和国民法典》《中华人民共和国公司法》等法律、行政法规，国务院制定的除行政法规外的其他规范性文件，司法解释，最高人民法院制定的除司法解释外的其他规范性文件，部门规章，国务院各部、委员会、中国人民银行、审计署和具有行政管理职能的直属机构制定的除部门规章、地方司法指导性文件及公司章程等内部文件。</w:t>
      </w:r>
    </w:p>
    <w:p w14:paraId="427BDB58">
      <w:pPr>
        <w:numPr>
          <w:ilvl w:val="0"/>
          <w:numId w:val="0"/>
        </w:numPr>
        <w:ind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（二）审核具体内容</w:t>
      </w:r>
    </w:p>
    <w:p w14:paraId="11984266">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根据具体服务内容确定，如：</w:t>
      </w:r>
    </w:p>
    <w:p w14:paraId="1233A05E">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尽职调查中：主要核查①交易标的权属是否清晰、有无争议纠纷；②交易标的取得合法合规性；③交易标的资产负债情况；④交易标的对应处罚、诉讼纠纷情况；⑤交易标的转让可行性及是否具有障碍瑕疵；⑥交易标的转让风险及对应防范措施。</w:t>
      </w:r>
    </w:p>
    <w:p w14:paraId="730FBAB1">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2.知识产权中：主要核查①专利权的独创性、新颖性和实用性；②涉知识产权客体是否侵犯他人在先权利等。</w:t>
      </w:r>
    </w:p>
    <w:p w14:paraId="16DC91F8">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3.劳动争议中：主要审查①劳动合同、规章制度；②用工情况；③工资发放情况；④纠纷争议情况等。</w:t>
      </w:r>
    </w:p>
    <w:p w14:paraId="09472580">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4.其他根据需求单位设定的审查内容。</w:t>
      </w:r>
    </w:p>
    <w:p w14:paraId="7E127D50">
      <w:pPr>
        <w:numPr>
          <w:ilvl w:val="0"/>
          <w:numId w:val="0"/>
        </w:numPr>
        <w:ind w:firstLine="640" w:firstLineChars="20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（三）关注风险点</w:t>
      </w:r>
    </w:p>
    <w:p w14:paraId="5C24CDC7">
      <w:pPr>
        <w:numPr>
          <w:ilvl w:val="0"/>
          <w:numId w:val="0"/>
        </w:numPr>
        <w:ind w:firstLine="56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根据不同专项服务内容，系统性解决企业在运营过程中面临的法律问题，针对企业特定需求的侧重点不同将进行不同角度的分析与把控。如：</w:t>
      </w:r>
    </w:p>
    <w:p w14:paraId="30FC035C">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1.核查是否存在法律、事实障碍瑕疵，评估可行性。</w:t>
      </w:r>
    </w:p>
    <w:p w14:paraId="345435E7">
      <w:pPr>
        <w:numPr>
          <w:ilvl w:val="-1"/>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2.核查、起草交易文件，注重维护公司的权利及利益，参与公司与交易对手谈判。</w:t>
      </w:r>
    </w:p>
    <w:p w14:paraId="3CBF0407">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3.核查项目中所涉标的权属情况、取得合法合规性、资产负债、行政处罚、诉讼纠纷等基本情况。</w:t>
      </w:r>
    </w:p>
    <w:p w14:paraId="2093C17D">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附表：评分标准表</w:t>
      </w:r>
    </w:p>
    <w:p w14:paraId="0DBE751B">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3C8D805A">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2BF1762F">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7659B98C">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090F2B53">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2528A8A9">
      <w:pPr>
        <w:numPr>
          <w:ilvl w:val="0"/>
          <w:numId w:val="0"/>
        </w:numPr>
        <w:ind w:firstLine="640" w:firstLineChars="200"/>
        <w:jc w:val="left"/>
        <w:rPr>
          <w:rFonts w:hint="default" w:ascii="仿宋_GB2312" w:hAnsi="仿宋_GB2312" w:eastAsia="仿宋_GB2312" w:cs="仿宋_GB2312"/>
          <w:sz w:val="32"/>
          <w:szCs w:val="32"/>
          <w:lang w:val="en-US" w:eastAsia="zh-CN"/>
        </w:rPr>
      </w:pPr>
    </w:p>
    <w:p w14:paraId="6E5171B8">
      <w:pPr>
        <w:numPr>
          <w:ilvl w:val="0"/>
          <w:numId w:val="0"/>
        </w:numPr>
        <w:ind w:firstLine="640" w:firstLineChars="200"/>
        <w:jc w:val="left"/>
        <w:rPr>
          <w:rFonts w:hint="eastAsia" w:ascii="仿宋_GB2312" w:hAnsi="仿宋_GB2312" w:eastAsia="仿宋_GB2312" w:cs="仿宋_GB2312"/>
          <w:sz w:val="32"/>
          <w:szCs w:val="32"/>
          <w:lang w:val="en-US" w:eastAsia="zh-CN"/>
        </w:rPr>
      </w:pPr>
    </w:p>
    <w:p w14:paraId="1AAA6569">
      <w:pPr>
        <w:numPr>
          <w:ilvl w:val="0"/>
          <w:numId w:val="0"/>
        </w:numPr>
        <w:jc w:val="left"/>
        <w:rPr>
          <w:rFonts w:hint="eastAsia" w:ascii="仿宋_GB2312" w:hAnsi="仿宋_GB2312" w:eastAsia="仿宋_GB2312" w:cs="仿宋_GB2312"/>
          <w:sz w:val="32"/>
          <w:szCs w:val="32"/>
          <w:lang w:val="en-US" w:eastAsia="zh-CN"/>
        </w:rPr>
      </w:pPr>
    </w:p>
    <w:p w14:paraId="759A3F16">
      <w:pPr>
        <w:numPr>
          <w:ilvl w:val="0"/>
          <w:numId w:val="0"/>
        </w:numPr>
        <w:jc w:val="left"/>
        <w:rPr>
          <w:rFonts w:hint="eastAsia" w:ascii="仿宋_GB2312" w:hAnsi="仿宋_GB2312" w:eastAsia="仿宋_GB2312" w:cs="仿宋_GB2312"/>
          <w:sz w:val="32"/>
          <w:szCs w:val="32"/>
          <w:lang w:val="en-US" w:eastAsia="zh-CN"/>
        </w:rPr>
      </w:pPr>
    </w:p>
    <w:p w14:paraId="7B181F53">
      <w:pPr>
        <w:numPr>
          <w:ilvl w:val="0"/>
          <w:numId w:val="0"/>
        </w:numPr>
        <w:jc w:val="left"/>
        <w:rPr>
          <w:rFonts w:hint="eastAsia" w:ascii="仿宋_GB2312" w:hAnsi="仿宋_GB2312" w:eastAsia="仿宋_GB2312" w:cs="仿宋_GB2312"/>
          <w:sz w:val="32"/>
          <w:szCs w:val="32"/>
          <w:lang w:val="en-US" w:eastAsia="zh-CN"/>
        </w:rPr>
      </w:pPr>
    </w:p>
    <w:p w14:paraId="7C450C43">
      <w:pPr>
        <w:numPr>
          <w:ilvl w:val="0"/>
          <w:numId w:val="0"/>
        </w:numPr>
        <w:jc w:val="left"/>
        <w:rPr>
          <w:rFonts w:hint="eastAsia" w:ascii="仿宋_GB2312" w:hAnsi="仿宋_GB2312" w:eastAsia="仿宋_GB2312" w:cs="仿宋_GB2312"/>
          <w:sz w:val="32"/>
          <w:szCs w:val="32"/>
          <w:lang w:val="en-US" w:eastAsia="zh-CN"/>
        </w:rPr>
      </w:pPr>
    </w:p>
    <w:tbl>
      <w:tblPr>
        <w:tblStyle w:val="8"/>
        <w:tblpPr w:leftFromText="181" w:rightFromText="181" w:horzAnchor="page" w:tblpX="1299" w:tblpYSpec="top"/>
        <w:tblOverlap w:val="never"/>
        <w:tblW w:w="91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28"/>
        <w:gridCol w:w="1350"/>
        <w:gridCol w:w="2431"/>
        <w:gridCol w:w="873"/>
        <w:gridCol w:w="590"/>
        <w:gridCol w:w="590"/>
        <w:gridCol w:w="590"/>
        <w:gridCol w:w="732"/>
        <w:gridCol w:w="592"/>
      </w:tblGrid>
      <w:tr w14:paraId="60BFA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9176" w:type="dxa"/>
            <w:gridSpan w:val="9"/>
            <w:tcBorders>
              <w:top w:val="single" w:color="auto" w:sz="4" w:space="0"/>
              <w:left w:val="single" w:color="auto" w:sz="4" w:space="0"/>
              <w:bottom w:val="single" w:color="auto" w:sz="4" w:space="0"/>
              <w:right w:val="single" w:color="auto" w:sz="4" w:space="0"/>
              <w:tl2br w:val="nil"/>
              <w:tr2bl w:val="nil"/>
            </w:tcBorders>
            <w:noWrap/>
            <w:vAlign w:val="center"/>
          </w:tcPr>
          <w:p w14:paraId="19DA7B12">
            <w:pPr>
              <w:pStyle w:val="2"/>
              <w:bidi w:val="0"/>
              <w:jc w:val="center"/>
              <w:rPr>
                <w:rFonts w:hint="default" w:ascii="宋体" w:hAnsi="宋体" w:cs="宋体"/>
                <w:color w:val="000000"/>
                <w:kern w:val="0"/>
                <w:szCs w:val="22"/>
                <w:lang w:bidi="ar"/>
              </w:rPr>
            </w:pPr>
            <w:r>
              <w:rPr>
                <w:rFonts w:hint="default"/>
              </w:rPr>
              <w:t>评分标准表</w:t>
            </w:r>
          </w:p>
        </w:tc>
      </w:tr>
      <w:tr w14:paraId="40FA2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right w:val="single" w:color="auto" w:sz="4" w:space="0"/>
              <w:tl2br w:val="nil"/>
              <w:tr2bl w:val="nil"/>
            </w:tcBorders>
            <w:noWrap/>
            <w:vAlign w:val="center"/>
          </w:tcPr>
          <w:p w14:paraId="43F55533">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文件类型</w:t>
            </w: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2C1DB59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评分项</w:t>
            </w:r>
          </w:p>
        </w:tc>
        <w:tc>
          <w:tcPr>
            <w:tcW w:w="2431" w:type="dxa"/>
            <w:vMerge w:val="restart"/>
            <w:tcBorders>
              <w:top w:val="single" w:color="auto" w:sz="4" w:space="0"/>
              <w:left w:val="single" w:color="auto" w:sz="4" w:space="0"/>
              <w:right w:val="single" w:color="auto" w:sz="4" w:space="0"/>
              <w:tl2br w:val="nil"/>
              <w:tr2bl w:val="nil"/>
            </w:tcBorders>
            <w:noWrap/>
            <w:vAlign w:val="center"/>
          </w:tcPr>
          <w:p w14:paraId="5782787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评分内容</w:t>
            </w:r>
          </w:p>
        </w:tc>
        <w:tc>
          <w:tcPr>
            <w:tcW w:w="873" w:type="dxa"/>
            <w:vMerge w:val="restart"/>
            <w:tcBorders>
              <w:top w:val="single" w:color="auto" w:sz="4" w:space="0"/>
              <w:left w:val="single" w:color="auto" w:sz="4" w:space="0"/>
              <w:right w:val="single" w:color="auto" w:sz="4" w:space="0"/>
              <w:tl2br w:val="nil"/>
              <w:tr2bl w:val="nil"/>
            </w:tcBorders>
            <w:noWrap/>
            <w:vAlign w:val="center"/>
          </w:tcPr>
          <w:p w14:paraId="3E89B3A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权重分值</w:t>
            </w:r>
          </w:p>
        </w:tc>
        <w:tc>
          <w:tcPr>
            <w:tcW w:w="2502" w:type="dxa"/>
            <w:gridSpan w:val="4"/>
            <w:tcBorders>
              <w:top w:val="single" w:color="auto" w:sz="4" w:space="0"/>
              <w:left w:val="single" w:color="auto" w:sz="4" w:space="0"/>
              <w:bottom w:val="single" w:color="auto" w:sz="4" w:space="0"/>
              <w:right w:val="single" w:color="auto" w:sz="4" w:space="0"/>
              <w:tl2br w:val="nil"/>
              <w:tr2bl w:val="nil"/>
            </w:tcBorders>
            <w:noWrap/>
            <w:vAlign w:val="center"/>
          </w:tcPr>
          <w:p w14:paraId="18B745C6">
            <w:pPr>
              <w:widowControl/>
              <w:spacing w:beforeLines="0" w:afterLines="0"/>
              <w:jc w:val="center"/>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评级</w:t>
            </w:r>
          </w:p>
        </w:tc>
        <w:tc>
          <w:tcPr>
            <w:tcW w:w="592" w:type="dxa"/>
            <w:vMerge w:val="restart"/>
            <w:tcBorders>
              <w:top w:val="single" w:color="auto" w:sz="4" w:space="0"/>
              <w:left w:val="single" w:color="auto" w:sz="4" w:space="0"/>
              <w:right w:val="single" w:color="auto" w:sz="4" w:space="0"/>
              <w:tl2br w:val="nil"/>
              <w:tr2bl w:val="nil"/>
            </w:tcBorders>
            <w:noWrap/>
            <w:vAlign w:val="center"/>
          </w:tcPr>
          <w:p w14:paraId="61CC58D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扣分</w:t>
            </w:r>
          </w:p>
        </w:tc>
      </w:tr>
      <w:tr w14:paraId="4F905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bottom w:val="single" w:color="auto" w:sz="4" w:space="0"/>
              <w:right w:val="single" w:color="auto" w:sz="4" w:space="0"/>
              <w:tl2br w:val="nil"/>
              <w:tr2bl w:val="nil"/>
            </w:tcBorders>
            <w:noWrap/>
            <w:vAlign w:val="center"/>
          </w:tcPr>
          <w:p w14:paraId="58B6F680">
            <w:pPr>
              <w:widowControl/>
              <w:spacing w:beforeLines="0" w:afterLines="0"/>
              <w:jc w:val="left"/>
              <w:textAlignment w:val="center"/>
              <w:rPr>
                <w:rFonts w:hint="default" w:ascii="宋体" w:hAnsi="宋体" w:cs="宋体"/>
                <w:color w:val="000000"/>
                <w:kern w:val="0"/>
                <w:sz w:val="22"/>
                <w:szCs w:val="22"/>
                <w:lang w:bidi="ar"/>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390D3833">
            <w:pPr>
              <w:widowControl/>
              <w:spacing w:beforeLines="0" w:afterLines="0"/>
              <w:jc w:val="left"/>
              <w:textAlignment w:val="center"/>
              <w:rPr>
                <w:rFonts w:hint="default" w:ascii="宋体" w:hAnsi="宋体" w:cs="宋体"/>
                <w:color w:val="000000"/>
                <w:kern w:val="0"/>
                <w:sz w:val="22"/>
                <w:szCs w:val="22"/>
                <w:lang w:bidi="ar"/>
              </w:rPr>
            </w:pPr>
          </w:p>
        </w:tc>
        <w:tc>
          <w:tcPr>
            <w:tcW w:w="2431" w:type="dxa"/>
            <w:vMerge w:val="continue"/>
            <w:tcBorders>
              <w:left w:val="single" w:color="auto" w:sz="4" w:space="0"/>
              <w:bottom w:val="single" w:color="auto" w:sz="4" w:space="0"/>
              <w:right w:val="single" w:color="auto" w:sz="4" w:space="0"/>
              <w:tl2br w:val="nil"/>
              <w:tr2bl w:val="nil"/>
            </w:tcBorders>
            <w:noWrap/>
            <w:vAlign w:val="center"/>
          </w:tcPr>
          <w:p w14:paraId="717E83DD">
            <w:pPr>
              <w:widowControl/>
              <w:spacing w:beforeLines="0" w:afterLines="0"/>
              <w:jc w:val="left"/>
              <w:textAlignment w:val="center"/>
              <w:rPr>
                <w:rFonts w:hint="default" w:ascii="宋体" w:hAnsi="宋体" w:cs="宋体"/>
                <w:color w:val="000000"/>
                <w:kern w:val="0"/>
                <w:sz w:val="22"/>
                <w:szCs w:val="22"/>
                <w:lang w:bidi="ar"/>
              </w:rPr>
            </w:pPr>
          </w:p>
        </w:tc>
        <w:tc>
          <w:tcPr>
            <w:tcW w:w="873" w:type="dxa"/>
            <w:vMerge w:val="continue"/>
            <w:tcBorders>
              <w:left w:val="single" w:color="auto" w:sz="4" w:space="0"/>
              <w:bottom w:val="single" w:color="auto" w:sz="4" w:space="0"/>
              <w:right w:val="single" w:color="auto" w:sz="4" w:space="0"/>
              <w:tl2br w:val="nil"/>
              <w:tr2bl w:val="nil"/>
            </w:tcBorders>
            <w:noWrap/>
            <w:vAlign w:val="center"/>
          </w:tcPr>
          <w:p w14:paraId="2736B751">
            <w:pPr>
              <w:widowControl/>
              <w:spacing w:beforeLines="0" w:afterLines="0"/>
              <w:jc w:val="left"/>
              <w:textAlignment w:val="center"/>
              <w:rPr>
                <w:rFonts w:hint="default" w:ascii="宋体" w:hAnsi="宋体" w:cs="宋体"/>
                <w:color w:val="000000"/>
                <w:kern w:val="0"/>
                <w:sz w:val="22"/>
                <w:szCs w:val="22"/>
                <w:lang w:bidi="ar"/>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2B090EB">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优秀</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8D12EAD">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良好</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CB57731">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合格</w:t>
            </w: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7B392FD">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不合格</w:t>
            </w:r>
          </w:p>
        </w:tc>
        <w:tc>
          <w:tcPr>
            <w:tcW w:w="592" w:type="dxa"/>
            <w:vMerge w:val="continue"/>
            <w:tcBorders>
              <w:left w:val="single" w:color="auto" w:sz="4" w:space="0"/>
              <w:bottom w:val="single" w:color="auto" w:sz="4" w:space="0"/>
              <w:right w:val="single" w:color="auto" w:sz="4" w:space="0"/>
              <w:tl2br w:val="nil"/>
              <w:tr2bl w:val="nil"/>
            </w:tcBorders>
            <w:noWrap/>
            <w:vAlign w:val="center"/>
          </w:tcPr>
          <w:p w14:paraId="09914844">
            <w:pPr>
              <w:widowControl/>
              <w:spacing w:beforeLines="0" w:afterLines="0"/>
              <w:jc w:val="left"/>
              <w:textAlignment w:val="center"/>
              <w:rPr>
                <w:rFonts w:hint="default" w:ascii="宋体" w:hAnsi="宋体" w:cs="宋体"/>
                <w:color w:val="000000"/>
                <w:kern w:val="0"/>
                <w:sz w:val="22"/>
                <w:szCs w:val="22"/>
                <w:lang w:bidi="ar"/>
              </w:rPr>
            </w:pPr>
          </w:p>
        </w:tc>
      </w:tr>
      <w:tr w14:paraId="6E083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right w:val="single" w:color="auto" w:sz="4" w:space="0"/>
              <w:tl2br w:val="nil"/>
              <w:tr2bl w:val="nil"/>
            </w:tcBorders>
            <w:noWrap/>
            <w:vAlign w:val="center"/>
          </w:tcPr>
          <w:p w14:paraId="09453F1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合同（100分）</w:t>
            </w: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5E0B5D2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审核依据</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0906703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法律法规掌握程度</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0B62AEBD">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BEDC56E">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C765C73">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EBEE656">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D434324">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0BC4F246">
            <w:pPr>
              <w:spacing w:beforeLines="0" w:afterLines="0"/>
              <w:rPr>
                <w:rFonts w:hint="default" w:ascii="宋体" w:hAnsi="宋体" w:cs="宋体"/>
                <w:color w:val="000000"/>
                <w:sz w:val="22"/>
                <w:szCs w:val="22"/>
              </w:rPr>
            </w:pPr>
          </w:p>
        </w:tc>
      </w:tr>
      <w:tr w14:paraId="3B9A3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14B2A968">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0A4C77B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审核内容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7718CB1F">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合法合规性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E6FA7DC">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688C541">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2D0E823">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DB3BB03">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A693417">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20147913">
            <w:pPr>
              <w:spacing w:beforeLines="0" w:afterLines="0"/>
              <w:rPr>
                <w:rFonts w:hint="default" w:ascii="宋体" w:hAnsi="宋体" w:cs="宋体"/>
                <w:color w:val="000000"/>
                <w:sz w:val="22"/>
                <w:szCs w:val="22"/>
              </w:rPr>
            </w:pPr>
          </w:p>
        </w:tc>
      </w:tr>
      <w:tr w14:paraId="258BB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4F04F877">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7E85C219">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59780AFC">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完整性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5BDCA4A6">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7BF061A">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59B423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C77A969">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6DD9FDA9">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A46AB77">
            <w:pPr>
              <w:spacing w:beforeLines="0" w:afterLines="0"/>
              <w:rPr>
                <w:rFonts w:hint="default" w:ascii="宋体" w:hAnsi="宋体" w:cs="宋体"/>
                <w:color w:val="000000"/>
                <w:sz w:val="22"/>
                <w:szCs w:val="22"/>
              </w:rPr>
            </w:pPr>
          </w:p>
        </w:tc>
      </w:tr>
      <w:tr w14:paraId="21718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4AC09D3E">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0F555CF8">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416ACA33">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可操作性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6B51B50C">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636A257">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806DA3B">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01EA67A">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1BBC831B">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160D397C">
            <w:pPr>
              <w:spacing w:beforeLines="0" w:afterLines="0"/>
              <w:rPr>
                <w:rFonts w:hint="default" w:ascii="宋体" w:hAnsi="宋体" w:cs="宋体"/>
                <w:color w:val="000000"/>
                <w:sz w:val="22"/>
                <w:szCs w:val="22"/>
              </w:rPr>
            </w:pPr>
          </w:p>
        </w:tc>
      </w:tr>
      <w:tr w14:paraId="2C91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50404671">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688D3A8A">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5D8F5DF3">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公平性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0AC7EA78">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A18E8C9">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DD178C2">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26C1D8F">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514A243">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56699B8">
            <w:pPr>
              <w:spacing w:beforeLines="0" w:afterLines="0"/>
              <w:rPr>
                <w:rFonts w:hint="default" w:ascii="宋体" w:hAnsi="宋体" w:cs="宋体"/>
                <w:color w:val="000000"/>
                <w:sz w:val="22"/>
                <w:szCs w:val="22"/>
              </w:rPr>
            </w:pPr>
          </w:p>
        </w:tc>
      </w:tr>
      <w:tr w14:paraId="012CE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429B8131">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328BACFB">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关注风险点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0662AF60">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主体风险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5E81565">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D5F3D01">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180071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DEE00A0">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16716058">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33DA9A53">
            <w:pPr>
              <w:spacing w:beforeLines="0" w:afterLines="0"/>
              <w:rPr>
                <w:rFonts w:hint="default" w:ascii="宋体" w:hAnsi="宋体" w:cs="宋体"/>
                <w:color w:val="000000"/>
                <w:sz w:val="22"/>
                <w:szCs w:val="22"/>
              </w:rPr>
            </w:pPr>
          </w:p>
        </w:tc>
      </w:tr>
      <w:tr w14:paraId="0FEE7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632D4802">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332875A3">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4C590CF">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条款风险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1F64BEF0">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2B6505B">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15CB4F1">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2D10774">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744A0A50">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1843D4E">
            <w:pPr>
              <w:spacing w:beforeLines="0" w:afterLines="0"/>
              <w:rPr>
                <w:rFonts w:hint="default" w:ascii="宋体" w:hAnsi="宋体" w:cs="宋体"/>
                <w:color w:val="000000"/>
                <w:sz w:val="22"/>
                <w:szCs w:val="22"/>
              </w:rPr>
            </w:pPr>
          </w:p>
        </w:tc>
      </w:tr>
      <w:tr w14:paraId="08D27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3D877ADC">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13D450EF">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E256439">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履行风险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7CB4605">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56B8293">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E7A5A7A">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2451669">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3F76407">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1F90622B">
            <w:pPr>
              <w:spacing w:beforeLines="0" w:afterLines="0"/>
              <w:rPr>
                <w:rFonts w:hint="default" w:ascii="宋体" w:hAnsi="宋体" w:cs="宋体"/>
                <w:color w:val="000000"/>
                <w:sz w:val="22"/>
                <w:szCs w:val="22"/>
              </w:rPr>
            </w:pPr>
          </w:p>
        </w:tc>
      </w:tr>
      <w:tr w14:paraId="14F8C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5227AD16">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6904524B">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A8B21F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法律风险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2EC1CFFE">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D10551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8D13DA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D0DCF3E">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5BFC381B">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31A07DF0">
            <w:pPr>
              <w:spacing w:beforeLines="0" w:afterLines="0"/>
              <w:rPr>
                <w:rFonts w:hint="default" w:ascii="宋体" w:hAnsi="宋体" w:cs="宋体"/>
                <w:color w:val="000000"/>
                <w:sz w:val="22"/>
                <w:szCs w:val="22"/>
              </w:rPr>
            </w:pPr>
          </w:p>
        </w:tc>
      </w:tr>
      <w:tr w14:paraId="303FC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bottom w:val="single" w:color="auto" w:sz="4" w:space="0"/>
              <w:right w:val="single" w:color="auto" w:sz="4" w:space="0"/>
              <w:tl2br w:val="nil"/>
              <w:tr2bl w:val="nil"/>
            </w:tcBorders>
            <w:noWrap/>
            <w:vAlign w:val="center"/>
          </w:tcPr>
          <w:p w14:paraId="3852EF46">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064FD6B4">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733D4B1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商业风险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377B456C">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E8211F9">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F8B9D38">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781AF18">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8A25E04">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28EFA9AB">
            <w:pPr>
              <w:spacing w:beforeLines="0" w:afterLines="0"/>
              <w:rPr>
                <w:rFonts w:hint="default" w:ascii="宋体" w:hAnsi="宋体" w:cs="宋体"/>
                <w:color w:val="000000"/>
                <w:sz w:val="22"/>
                <w:szCs w:val="22"/>
              </w:rPr>
            </w:pPr>
          </w:p>
        </w:tc>
      </w:tr>
      <w:tr w14:paraId="2FAB2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right w:val="single" w:color="auto" w:sz="4" w:space="0"/>
              <w:tl2br w:val="nil"/>
              <w:tr2bl w:val="nil"/>
            </w:tcBorders>
            <w:noWrap/>
            <w:vAlign w:val="center"/>
          </w:tcPr>
          <w:p w14:paraId="7344C453">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重大决策咨询类（100分）</w:t>
            </w: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20D83D1B">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审核依据</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60971764">
            <w:pPr>
              <w:spacing w:beforeLines="0" w:afterLines="0"/>
              <w:rPr>
                <w:rFonts w:hint="default" w:ascii="宋体" w:hAnsi="宋体" w:cs="宋体"/>
                <w:color w:val="000000"/>
                <w:sz w:val="22"/>
                <w:szCs w:val="22"/>
              </w:rPr>
            </w:pPr>
            <w:r>
              <w:rPr>
                <w:rFonts w:hint="default" w:ascii="宋体" w:hAnsi="宋体" w:cs="宋体"/>
                <w:color w:val="000000"/>
                <w:kern w:val="0"/>
                <w:sz w:val="22"/>
                <w:szCs w:val="22"/>
                <w:lang w:bidi="ar"/>
              </w:rPr>
              <w:t>法律法规掌握程度</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28865132">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5BBE9A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6D9C95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8441630">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6A38B3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06F261C0">
            <w:pPr>
              <w:spacing w:beforeLines="0" w:afterLines="0"/>
              <w:rPr>
                <w:rFonts w:hint="default" w:ascii="宋体" w:hAnsi="宋体" w:cs="宋体"/>
                <w:color w:val="000000"/>
                <w:sz w:val="22"/>
                <w:szCs w:val="22"/>
              </w:rPr>
            </w:pPr>
          </w:p>
        </w:tc>
      </w:tr>
      <w:tr w14:paraId="48B12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0B3A49E9">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175366D6">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审核内容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615DEBAC">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合法合规性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5BA85FB9">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8E72DF1">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84B7A2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84C725D">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2B0ABE9">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0EC5A6D">
            <w:pPr>
              <w:spacing w:beforeLines="0" w:afterLines="0"/>
              <w:rPr>
                <w:rFonts w:hint="default" w:ascii="宋体" w:hAnsi="宋体" w:cs="宋体"/>
                <w:color w:val="000000"/>
                <w:sz w:val="22"/>
                <w:szCs w:val="22"/>
              </w:rPr>
            </w:pPr>
          </w:p>
        </w:tc>
      </w:tr>
      <w:tr w14:paraId="5E8D3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53601554">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25613AA8">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6F84284E">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决策流程合制度性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689094C9">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6CC544D">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FCE311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801C39C">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6C0F7D4">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37751872">
            <w:pPr>
              <w:spacing w:beforeLines="0" w:afterLines="0"/>
              <w:rPr>
                <w:rFonts w:hint="default" w:ascii="宋体" w:hAnsi="宋体" w:cs="宋体"/>
                <w:color w:val="000000"/>
                <w:sz w:val="22"/>
                <w:szCs w:val="22"/>
              </w:rPr>
            </w:pPr>
          </w:p>
        </w:tc>
      </w:tr>
      <w:tr w14:paraId="5FE72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451B3A8B">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7F87C67C">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505A1938">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完整性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6AD1B7A">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41836BC">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781C2AC">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55AEDDD">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5A50791A">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6983522D">
            <w:pPr>
              <w:spacing w:beforeLines="0" w:afterLines="0"/>
              <w:rPr>
                <w:rFonts w:hint="default" w:ascii="宋体" w:hAnsi="宋体" w:cs="宋体"/>
                <w:color w:val="000000"/>
                <w:sz w:val="22"/>
                <w:szCs w:val="22"/>
              </w:rPr>
            </w:pPr>
          </w:p>
        </w:tc>
      </w:tr>
      <w:tr w14:paraId="2677E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610EE2BF">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105DBCD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关注风险点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6F3F09E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法律风险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69AD82BF">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E48CC1C">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227F4DA">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9426096">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558C4B1E">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2A7BF424">
            <w:pPr>
              <w:spacing w:beforeLines="0" w:afterLines="0"/>
              <w:rPr>
                <w:rFonts w:hint="default" w:ascii="宋体" w:hAnsi="宋体" w:cs="宋体"/>
                <w:color w:val="000000"/>
                <w:sz w:val="22"/>
                <w:szCs w:val="22"/>
              </w:rPr>
            </w:pPr>
          </w:p>
        </w:tc>
      </w:tr>
      <w:tr w14:paraId="5DE89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3048DC53">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3EAD5FE1">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31DEB20">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程序瑕疵风险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6689F91">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2AFF5F7">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791032B">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1214E8B">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7CE555D3">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77D550E6">
            <w:pPr>
              <w:spacing w:beforeLines="0" w:afterLines="0"/>
              <w:rPr>
                <w:rFonts w:hint="default" w:ascii="宋体" w:hAnsi="宋体" w:cs="宋体"/>
                <w:color w:val="000000"/>
                <w:sz w:val="22"/>
                <w:szCs w:val="22"/>
              </w:rPr>
            </w:pPr>
          </w:p>
        </w:tc>
      </w:tr>
      <w:tr w14:paraId="670AE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bottom w:val="single" w:color="auto" w:sz="4" w:space="0"/>
              <w:right w:val="single" w:color="auto" w:sz="4" w:space="0"/>
              <w:tl2br w:val="nil"/>
              <w:tr2bl w:val="nil"/>
            </w:tcBorders>
            <w:noWrap/>
            <w:vAlign w:val="center"/>
          </w:tcPr>
          <w:p w14:paraId="1531BCF1">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215250C4">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1313EAD">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执行风险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5E43D2E3">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06EAD4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7B4F7DE">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349B6F3">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2EB4A21A">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49BEFC25">
            <w:pPr>
              <w:spacing w:beforeLines="0" w:afterLines="0"/>
              <w:rPr>
                <w:rFonts w:hint="default" w:ascii="宋体" w:hAnsi="宋体" w:cs="宋体"/>
                <w:color w:val="000000"/>
                <w:sz w:val="22"/>
                <w:szCs w:val="22"/>
              </w:rPr>
            </w:pPr>
          </w:p>
        </w:tc>
      </w:tr>
      <w:tr w14:paraId="4CAE1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right w:val="single" w:color="auto" w:sz="4" w:space="0"/>
              <w:tl2br w:val="nil"/>
              <w:tr2bl w:val="nil"/>
            </w:tcBorders>
            <w:noWrap/>
            <w:vAlign w:val="center"/>
          </w:tcPr>
          <w:p w14:paraId="242CCC25">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公司制度文件（100）</w:t>
            </w: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5ECA4D0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审核依据</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E8CB149">
            <w:pPr>
              <w:spacing w:beforeLines="0" w:afterLines="0"/>
              <w:rPr>
                <w:rFonts w:hint="default" w:ascii="宋体" w:hAnsi="宋体" w:cs="宋体"/>
                <w:color w:val="000000"/>
                <w:sz w:val="22"/>
                <w:szCs w:val="22"/>
              </w:rPr>
            </w:pPr>
            <w:r>
              <w:rPr>
                <w:rFonts w:hint="default" w:ascii="宋体" w:hAnsi="宋体" w:cs="宋体"/>
                <w:color w:val="000000"/>
                <w:kern w:val="0"/>
                <w:sz w:val="22"/>
                <w:szCs w:val="22"/>
                <w:lang w:bidi="ar"/>
              </w:rPr>
              <w:t>法律法规掌握程度</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3BFA7C3D">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25465FE">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6F8B2FE">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9B1AB56">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F70988A">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4BB50548">
            <w:pPr>
              <w:spacing w:beforeLines="0" w:afterLines="0"/>
              <w:rPr>
                <w:rFonts w:hint="default" w:ascii="宋体" w:hAnsi="宋体" w:cs="宋体"/>
                <w:color w:val="000000"/>
                <w:sz w:val="22"/>
                <w:szCs w:val="22"/>
              </w:rPr>
            </w:pPr>
          </w:p>
        </w:tc>
      </w:tr>
      <w:tr w14:paraId="4E196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209B669C">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51942B29">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审核内容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E69E74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合法合规性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76E8408E">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4DD2A8D">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3890768">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FF2300E">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A9B3AA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98B9555">
            <w:pPr>
              <w:spacing w:beforeLines="0" w:afterLines="0"/>
              <w:rPr>
                <w:rFonts w:hint="default" w:ascii="宋体" w:hAnsi="宋体" w:cs="宋体"/>
                <w:color w:val="000000"/>
                <w:sz w:val="22"/>
                <w:szCs w:val="22"/>
              </w:rPr>
            </w:pPr>
          </w:p>
        </w:tc>
      </w:tr>
      <w:tr w14:paraId="2FCC4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65092559">
            <w:pPr>
              <w:spacing w:beforeLines="0" w:afterLines="0"/>
              <w:rPr>
                <w:rFonts w:hint="default" w:ascii="宋体" w:hAnsi="宋体" w:cs="宋体"/>
                <w:color w:val="000000"/>
                <w:sz w:val="22"/>
                <w:szCs w:val="22"/>
              </w:rPr>
            </w:pPr>
          </w:p>
        </w:tc>
        <w:tc>
          <w:tcPr>
            <w:tcW w:w="1350" w:type="dxa"/>
            <w:vMerge w:val="continue"/>
            <w:tcBorders>
              <w:left w:val="single" w:color="auto" w:sz="4" w:space="0"/>
              <w:right w:val="single" w:color="auto" w:sz="4" w:space="0"/>
              <w:tl2br w:val="nil"/>
              <w:tr2bl w:val="nil"/>
            </w:tcBorders>
            <w:noWrap/>
            <w:vAlign w:val="center"/>
          </w:tcPr>
          <w:p w14:paraId="5A86E151">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00EA25E">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协调性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3A1AD93A">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DDC2D4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AC85DFC">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247436E">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36B39680">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293D41D4">
            <w:pPr>
              <w:spacing w:beforeLines="0" w:afterLines="0"/>
              <w:rPr>
                <w:rFonts w:hint="default" w:ascii="宋体" w:hAnsi="宋体" w:cs="宋体"/>
                <w:color w:val="000000"/>
                <w:sz w:val="22"/>
                <w:szCs w:val="22"/>
              </w:rPr>
            </w:pPr>
          </w:p>
        </w:tc>
      </w:tr>
      <w:tr w14:paraId="7533C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0930D902">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364DBD25">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0B47D4E2">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可操作性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1A574110">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6BA83F9">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55963F7">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1C3FB2C8">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584A0006">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0ED1A95D">
            <w:pPr>
              <w:spacing w:beforeLines="0" w:afterLines="0"/>
              <w:rPr>
                <w:rFonts w:hint="default" w:ascii="宋体" w:hAnsi="宋体" w:cs="宋体"/>
                <w:color w:val="000000"/>
                <w:sz w:val="22"/>
                <w:szCs w:val="22"/>
              </w:rPr>
            </w:pPr>
          </w:p>
        </w:tc>
      </w:tr>
      <w:tr w14:paraId="5F492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052D3BD3">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right w:val="single" w:color="auto" w:sz="4" w:space="0"/>
              <w:tl2br w:val="nil"/>
              <w:tr2bl w:val="nil"/>
            </w:tcBorders>
            <w:noWrap/>
            <w:vAlign w:val="center"/>
          </w:tcPr>
          <w:p w14:paraId="4CCF4166">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关注风险点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7FD32A2">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法律风险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2E51B33A">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F317336">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28F8303">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771F1D3">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426F05B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468340C5">
            <w:pPr>
              <w:spacing w:beforeLines="0" w:afterLines="0"/>
              <w:rPr>
                <w:rFonts w:hint="default" w:ascii="宋体" w:hAnsi="宋体" w:cs="宋体"/>
                <w:color w:val="000000"/>
                <w:sz w:val="22"/>
                <w:szCs w:val="22"/>
              </w:rPr>
            </w:pPr>
          </w:p>
        </w:tc>
      </w:tr>
      <w:tr w14:paraId="30393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bottom w:val="single" w:color="auto" w:sz="4" w:space="0"/>
              <w:right w:val="single" w:color="auto" w:sz="4" w:space="0"/>
              <w:tl2br w:val="nil"/>
              <w:tr2bl w:val="nil"/>
            </w:tcBorders>
            <w:noWrap/>
            <w:vAlign w:val="center"/>
          </w:tcPr>
          <w:p w14:paraId="23925587">
            <w:pPr>
              <w:spacing w:beforeLines="0" w:afterLines="0"/>
              <w:rPr>
                <w:rFonts w:hint="default" w:ascii="宋体" w:hAnsi="宋体" w:cs="宋体"/>
                <w:color w:val="000000"/>
                <w:sz w:val="22"/>
                <w:szCs w:val="22"/>
              </w:rPr>
            </w:pPr>
          </w:p>
        </w:tc>
        <w:tc>
          <w:tcPr>
            <w:tcW w:w="1350" w:type="dxa"/>
            <w:vMerge w:val="continue"/>
            <w:tcBorders>
              <w:left w:val="single" w:color="auto" w:sz="4" w:space="0"/>
              <w:bottom w:val="single" w:color="auto" w:sz="4" w:space="0"/>
              <w:right w:val="single" w:color="auto" w:sz="4" w:space="0"/>
              <w:tl2br w:val="nil"/>
              <w:tr2bl w:val="nil"/>
            </w:tcBorders>
            <w:noWrap/>
            <w:vAlign w:val="center"/>
          </w:tcPr>
          <w:p w14:paraId="0B99E10C">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09689685">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执行风险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A01AA1D">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32D2458">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5A927F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71016B7">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1FFE3A71">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4AC14F32">
            <w:pPr>
              <w:spacing w:beforeLines="0" w:afterLines="0"/>
              <w:rPr>
                <w:rFonts w:hint="default" w:ascii="宋体" w:hAnsi="宋体" w:cs="宋体"/>
                <w:color w:val="000000"/>
                <w:sz w:val="22"/>
                <w:szCs w:val="22"/>
              </w:rPr>
            </w:pPr>
          </w:p>
        </w:tc>
      </w:tr>
      <w:tr w14:paraId="4BFD2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5592D1E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专项委托服务事项（100分）</w:t>
            </w: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134D55A6">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审核依据</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5F0501DF">
            <w:pPr>
              <w:spacing w:beforeLines="0" w:afterLines="0"/>
              <w:rPr>
                <w:rFonts w:hint="default" w:ascii="宋体" w:hAnsi="宋体" w:cs="宋体"/>
                <w:color w:val="000000"/>
                <w:sz w:val="22"/>
                <w:szCs w:val="22"/>
              </w:rPr>
            </w:pPr>
            <w:r>
              <w:rPr>
                <w:rFonts w:hint="default" w:ascii="宋体" w:hAnsi="宋体" w:cs="宋体"/>
                <w:color w:val="000000"/>
                <w:kern w:val="0"/>
                <w:sz w:val="22"/>
                <w:szCs w:val="22"/>
                <w:lang w:bidi="ar"/>
              </w:rPr>
              <w:t>法律法规掌握程度</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77661E03">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F1A1A85">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8E4A73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A47E1AF">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CE6AC04">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7501BFA8">
            <w:pPr>
              <w:spacing w:beforeLines="0" w:afterLines="0"/>
              <w:rPr>
                <w:rFonts w:hint="default" w:ascii="宋体" w:hAnsi="宋体" w:cs="宋体"/>
                <w:color w:val="000000"/>
                <w:sz w:val="22"/>
                <w:szCs w:val="22"/>
              </w:rPr>
            </w:pPr>
          </w:p>
        </w:tc>
      </w:tr>
      <w:tr w14:paraId="5009C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ECB9B37">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45162A15">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审核内容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07BE31DA">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合法合规性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59E15096">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418A9D1">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1D57B80">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7EDA219">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56BEB0E6">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0C4FEC5E">
            <w:pPr>
              <w:spacing w:beforeLines="0" w:afterLines="0"/>
              <w:rPr>
                <w:rFonts w:hint="default" w:ascii="宋体" w:hAnsi="宋体" w:cs="宋体"/>
                <w:color w:val="000000"/>
                <w:sz w:val="22"/>
                <w:szCs w:val="22"/>
              </w:rPr>
            </w:pPr>
          </w:p>
        </w:tc>
      </w:tr>
      <w:tr w14:paraId="67EE9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4A023D0">
            <w:pPr>
              <w:spacing w:beforeLines="0" w:afterLines="0"/>
              <w:rPr>
                <w:rFonts w:hint="default" w:ascii="宋体" w:hAnsi="宋体" w:cs="宋体"/>
                <w:color w:val="000000"/>
                <w:sz w:val="22"/>
                <w:szCs w:val="22"/>
              </w:rPr>
            </w:pPr>
          </w:p>
        </w:tc>
        <w:tc>
          <w:tcPr>
            <w:tcW w:w="1350"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53B4C8F">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6B954C51">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具体情况完整性</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4F7C5815">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3E4D10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B32A5E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FFB1845">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765EA0C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0D28BCC0">
            <w:pPr>
              <w:spacing w:beforeLines="0" w:afterLines="0"/>
              <w:rPr>
                <w:rFonts w:hint="default" w:ascii="宋体" w:hAnsi="宋体" w:cs="宋体"/>
                <w:color w:val="000000"/>
                <w:sz w:val="22"/>
                <w:szCs w:val="22"/>
              </w:rPr>
            </w:pPr>
          </w:p>
        </w:tc>
      </w:tr>
      <w:tr w14:paraId="20E64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CCB3A5F">
            <w:pPr>
              <w:spacing w:beforeLines="0" w:afterLines="0"/>
              <w:rPr>
                <w:rFonts w:hint="default" w:ascii="宋体" w:hAnsi="宋体" w:cs="宋体"/>
                <w:color w:val="000000"/>
                <w:sz w:val="22"/>
                <w:szCs w:val="22"/>
              </w:rPr>
            </w:pPr>
          </w:p>
        </w:tc>
        <w:tc>
          <w:tcPr>
            <w:tcW w:w="1350"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2A59509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关注风险点</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915B6B7">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法律风险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77A15B26">
            <w:pPr>
              <w:spacing w:beforeLines="0" w:afterLines="0"/>
              <w:rPr>
                <w:rFonts w:hint="default" w:ascii="宋体" w:hAnsi="宋体" w:cs="宋体"/>
                <w:color w:val="000000"/>
                <w:sz w:val="22"/>
                <w:szCs w:val="22"/>
              </w:rPr>
            </w:pPr>
            <w:r>
              <w:rPr>
                <w:rFonts w:hint="default" w:ascii="宋体" w:hAnsi="宋体" w:cs="宋体"/>
                <w:color w:val="000000"/>
                <w:sz w:val="22"/>
                <w:szCs w:val="22"/>
              </w:rPr>
              <w:t>30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9DD970E">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8CFB78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F28EAE8">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0EAD5EF3">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478BB85">
            <w:pPr>
              <w:spacing w:beforeLines="0" w:afterLines="0"/>
              <w:rPr>
                <w:rFonts w:hint="default" w:ascii="宋体" w:hAnsi="宋体" w:cs="宋体"/>
                <w:color w:val="000000"/>
                <w:sz w:val="22"/>
                <w:szCs w:val="22"/>
              </w:rPr>
            </w:pPr>
          </w:p>
        </w:tc>
      </w:tr>
      <w:tr w14:paraId="102D1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F13CC52">
            <w:pPr>
              <w:spacing w:beforeLines="0" w:afterLines="0"/>
              <w:rPr>
                <w:rFonts w:hint="default" w:ascii="宋体" w:hAnsi="宋体" w:cs="宋体"/>
                <w:color w:val="000000"/>
                <w:sz w:val="22"/>
                <w:szCs w:val="22"/>
              </w:rPr>
            </w:pPr>
          </w:p>
        </w:tc>
        <w:tc>
          <w:tcPr>
            <w:tcW w:w="1350"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0123D39">
            <w:pPr>
              <w:spacing w:beforeLines="0" w:afterLines="0"/>
              <w:rPr>
                <w:rFonts w:hint="default" w:ascii="宋体" w:hAnsi="宋体" w:cs="宋体"/>
                <w:color w:val="000000"/>
                <w:sz w:val="22"/>
                <w:szCs w:val="22"/>
              </w:rPr>
            </w:pP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42B9A392">
            <w:pPr>
              <w:widowControl/>
              <w:spacing w:beforeLines="0" w:afterLines="0"/>
              <w:jc w:val="left"/>
              <w:textAlignment w:val="center"/>
              <w:rPr>
                <w:rFonts w:hint="default" w:ascii="宋体" w:hAnsi="宋体" w:cs="宋体"/>
                <w:color w:val="000000"/>
                <w:sz w:val="22"/>
                <w:szCs w:val="22"/>
              </w:rPr>
            </w:pPr>
            <w:r>
              <w:rPr>
                <w:rFonts w:hint="default" w:ascii="宋体" w:hAnsi="宋体" w:cs="宋体"/>
                <w:color w:val="000000"/>
                <w:kern w:val="0"/>
                <w:sz w:val="22"/>
                <w:szCs w:val="22"/>
                <w:lang w:bidi="ar"/>
              </w:rPr>
              <w:t>执行风险</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2BA6CD69">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94B47B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9BB8726">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80B8604">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2B225F78">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1FEDA02A">
            <w:pPr>
              <w:spacing w:beforeLines="0" w:afterLines="0"/>
              <w:rPr>
                <w:rFonts w:hint="default" w:ascii="宋体" w:hAnsi="宋体" w:cs="宋体"/>
                <w:color w:val="000000"/>
                <w:sz w:val="22"/>
                <w:szCs w:val="22"/>
              </w:rPr>
            </w:pPr>
          </w:p>
        </w:tc>
      </w:tr>
      <w:tr w14:paraId="0FF6A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restart"/>
            <w:tcBorders>
              <w:top w:val="single" w:color="auto" w:sz="4" w:space="0"/>
              <w:left w:val="single" w:color="auto" w:sz="4" w:space="0"/>
              <w:right w:val="single" w:color="auto" w:sz="4" w:space="0"/>
              <w:tl2br w:val="nil"/>
              <w:tr2bl w:val="nil"/>
            </w:tcBorders>
            <w:noWrap/>
            <w:vAlign w:val="center"/>
          </w:tcPr>
          <w:p w14:paraId="6398CA82">
            <w:pPr>
              <w:spacing w:beforeLines="0" w:afterLines="0"/>
              <w:rPr>
                <w:rFonts w:hint="default" w:ascii="宋体" w:hAnsi="宋体" w:cs="宋体"/>
                <w:color w:val="000000"/>
                <w:sz w:val="22"/>
                <w:szCs w:val="22"/>
              </w:rPr>
            </w:pPr>
            <w:r>
              <w:rPr>
                <w:rFonts w:hint="default" w:ascii="宋体" w:hAnsi="宋体" w:cs="宋体"/>
                <w:color w:val="000000"/>
                <w:sz w:val="22"/>
                <w:szCs w:val="22"/>
              </w:rPr>
              <w:t>年度整体评价（50分）</w:t>
            </w: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1DD391AC">
            <w:pPr>
              <w:spacing w:beforeLines="0" w:afterLines="0"/>
              <w:rPr>
                <w:rFonts w:hint="default" w:ascii="宋体" w:hAnsi="宋体" w:cs="宋体"/>
                <w:color w:val="000000"/>
                <w:sz w:val="22"/>
                <w:szCs w:val="22"/>
              </w:rPr>
            </w:pPr>
            <w:r>
              <w:rPr>
                <w:rFonts w:hint="default" w:ascii="宋体" w:hAnsi="宋体" w:cs="宋体"/>
                <w:color w:val="000000"/>
                <w:sz w:val="22"/>
                <w:szCs w:val="22"/>
              </w:rPr>
              <w:t>值班到岗</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5FEE866">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是否按照约定到岗</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319C8698">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332E4C26">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216B7E34">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6F923EA">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1D82E690">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5393242D">
            <w:pPr>
              <w:spacing w:beforeLines="0" w:afterLines="0"/>
              <w:rPr>
                <w:rFonts w:hint="default" w:ascii="宋体" w:hAnsi="宋体" w:cs="宋体"/>
                <w:color w:val="000000"/>
                <w:sz w:val="22"/>
                <w:szCs w:val="22"/>
              </w:rPr>
            </w:pPr>
          </w:p>
        </w:tc>
      </w:tr>
      <w:tr w14:paraId="1FDB0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4364321F">
            <w:pPr>
              <w:spacing w:beforeLines="0" w:afterLines="0"/>
              <w:rPr>
                <w:rFonts w:hint="default" w:ascii="宋体" w:hAnsi="宋体" w:cs="宋体"/>
                <w:color w:val="000000"/>
                <w:sz w:val="22"/>
                <w:szCs w:val="22"/>
              </w:rPr>
            </w:pP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504A8C29">
            <w:pPr>
              <w:spacing w:beforeLines="0" w:afterLines="0"/>
              <w:rPr>
                <w:rFonts w:hint="default" w:ascii="宋体" w:hAnsi="宋体" w:cs="宋体"/>
                <w:color w:val="000000"/>
                <w:sz w:val="22"/>
                <w:szCs w:val="22"/>
              </w:rPr>
            </w:pPr>
            <w:r>
              <w:rPr>
                <w:rFonts w:hint="default" w:ascii="宋体" w:hAnsi="宋体" w:cs="宋体"/>
                <w:color w:val="000000"/>
                <w:sz w:val="22"/>
                <w:szCs w:val="22"/>
              </w:rPr>
              <w:t>响应速度</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20710A2E">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是否在规定的时间内响应并完成</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252902DB">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0DC1302">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5EBCB979">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47D94B69">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441CD75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3173ABCA">
            <w:pPr>
              <w:spacing w:beforeLines="0" w:afterLines="0"/>
              <w:rPr>
                <w:rFonts w:hint="default" w:ascii="宋体" w:hAnsi="宋体" w:cs="宋体"/>
                <w:color w:val="000000"/>
                <w:sz w:val="22"/>
                <w:szCs w:val="22"/>
              </w:rPr>
            </w:pPr>
          </w:p>
        </w:tc>
      </w:tr>
      <w:tr w14:paraId="024CE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right w:val="single" w:color="auto" w:sz="4" w:space="0"/>
              <w:tl2br w:val="nil"/>
              <w:tr2bl w:val="nil"/>
            </w:tcBorders>
            <w:noWrap/>
            <w:vAlign w:val="center"/>
          </w:tcPr>
          <w:p w14:paraId="05710D89">
            <w:pPr>
              <w:spacing w:beforeLines="0" w:afterLines="0"/>
              <w:rPr>
                <w:rFonts w:hint="default" w:ascii="宋体" w:hAnsi="宋体" w:cs="宋体"/>
                <w:color w:val="000000"/>
                <w:sz w:val="22"/>
                <w:szCs w:val="22"/>
              </w:rPr>
            </w:pP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3D014D6E">
            <w:pPr>
              <w:spacing w:beforeLines="0" w:afterLines="0"/>
              <w:rPr>
                <w:rFonts w:hint="default" w:ascii="宋体" w:hAnsi="宋体" w:cs="宋体"/>
                <w:color w:val="000000"/>
                <w:sz w:val="22"/>
                <w:szCs w:val="22"/>
              </w:rPr>
            </w:pPr>
            <w:r>
              <w:rPr>
                <w:rFonts w:hint="default" w:ascii="宋体" w:hAnsi="宋体" w:cs="宋体"/>
                <w:color w:val="000000"/>
                <w:sz w:val="22"/>
                <w:szCs w:val="22"/>
              </w:rPr>
              <w:t>配合程度</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381EB856">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是否按照要求完成工作内容</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5E38E1EB">
            <w:pPr>
              <w:spacing w:beforeLines="0" w:afterLines="0"/>
              <w:rPr>
                <w:rFonts w:hint="default" w:ascii="宋体" w:hAnsi="宋体" w:cs="宋体"/>
                <w:color w:val="000000"/>
                <w:sz w:val="22"/>
                <w:szCs w:val="22"/>
              </w:rPr>
            </w:pPr>
            <w:r>
              <w:rPr>
                <w:rFonts w:hint="default" w:ascii="宋体" w:hAnsi="宋体" w:cs="宋体"/>
                <w:color w:val="000000"/>
                <w:sz w:val="22"/>
                <w:szCs w:val="22"/>
              </w:rPr>
              <w:t>20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77B99CB8">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5C6222B">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4206251">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1BCC6DBF">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757175EB">
            <w:pPr>
              <w:spacing w:beforeLines="0" w:afterLines="0"/>
              <w:rPr>
                <w:rFonts w:hint="default" w:ascii="宋体" w:hAnsi="宋体" w:cs="宋体"/>
                <w:color w:val="000000"/>
                <w:sz w:val="22"/>
                <w:szCs w:val="22"/>
              </w:rPr>
            </w:pPr>
          </w:p>
        </w:tc>
      </w:tr>
      <w:tr w14:paraId="2C329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28" w:type="dxa"/>
            <w:vMerge w:val="continue"/>
            <w:tcBorders>
              <w:left w:val="single" w:color="auto" w:sz="4" w:space="0"/>
              <w:bottom w:val="single" w:color="auto" w:sz="4" w:space="0"/>
              <w:right w:val="single" w:color="auto" w:sz="4" w:space="0"/>
              <w:tl2br w:val="nil"/>
              <w:tr2bl w:val="nil"/>
            </w:tcBorders>
            <w:noWrap/>
            <w:vAlign w:val="center"/>
          </w:tcPr>
          <w:p w14:paraId="00C1FCFB">
            <w:pPr>
              <w:spacing w:beforeLines="0" w:afterLines="0"/>
              <w:rPr>
                <w:rFonts w:hint="default" w:ascii="宋体" w:hAnsi="宋体" w:cs="宋体"/>
                <w:color w:val="000000"/>
                <w:sz w:val="22"/>
                <w:szCs w:val="22"/>
              </w:rPr>
            </w:pPr>
          </w:p>
        </w:tc>
        <w:tc>
          <w:tcPr>
            <w:tcW w:w="1350" w:type="dxa"/>
            <w:tcBorders>
              <w:top w:val="single" w:color="auto" w:sz="4" w:space="0"/>
              <w:left w:val="single" w:color="auto" w:sz="4" w:space="0"/>
              <w:bottom w:val="single" w:color="auto" w:sz="4" w:space="0"/>
              <w:right w:val="single" w:color="auto" w:sz="4" w:space="0"/>
              <w:tl2br w:val="nil"/>
              <w:tr2bl w:val="nil"/>
            </w:tcBorders>
            <w:noWrap/>
            <w:vAlign w:val="center"/>
          </w:tcPr>
          <w:p w14:paraId="497A796B">
            <w:pPr>
              <w:spacing w:beforeLines="0" w:afterLines="0"/>
              <w:rPr>
                <w:rFonts w:hint="default" w:ascii="宋体" w:hAnsi="宋体" w:cs="宋体"/>
                <w:color w:val="000000"/>
                <w:sz w:val="22"/>
                <w:szCs w:val="22"/>
              </w:rPr>
            </w:pPr>
            <w:r>
              <w:rPr>
                <w:rFonts w:hint="default" w:ascii="宋体" w:hAnsi="宋体" w:cs="宋体"/>
                <w:color w:val="000000"/>
                <w:sz w:val="22"/>
                <w:szCs w:val="22"/>
              </w:rPr>
              <w:t>专业水平</w:t>
            </w:r>
          </w:p>
        </w:tc>
        <w:tc>
          <w:tcPr>
            <w:tcW w:w="2431" w:type="dxa"/>
            <w:tcBorders>
              <w:top w:val="single" w:color="auto" w:sz="4" w:space="0"/>
              <w:left w:val="single" w:color="auto" w:sz="4" w:space="0"/>
              <w:bottom w:val="single" w:color="auto" w:sz="4" w:space="0"/>
              <w:right w:val="single" w:color="auto" w:sz="4" w:space="0"/>
              <w:tl2br w:val="nil"/>
              <w:tr2bl w:val="nil"/>
            </w:tcBorders>
            <w:noWrap/>
            <w:vAlign w:val="center"/>
          </w:tcPr>
          <w:p w14:paraId="1FBBCA7A">
            <w:pPr>
              <w:widowControl/>
              <w:spacing w:beforeLines="0" w:afterLines="0"/>
              <w:jc w:val="left"/>
              <w:textAlignment w:val="center"/>
              <w:rPr>
                <w:rFonts w:hint="default" w:ascii="宋体" w:hAnsi="宋体" w:cs="宋体"/>
                <w:color w:val="000000"/>
                <w:kern w:val="0"/>
                <w:sz w:val="22"/>
                <w:szCs w:val="22"/>
                <w:lang w:bidi="ar"/>
              </w:rPr>
            </w:pPr>
            <w:r>
              <w:rPr>
                <w:rFonts w:hint="default" w:ascii="宋体" w:hAnsi="宋体" w:cs="宋体"/>
                <w:color w:val="000000"/>
                <w:kern w:val="0"/>
                <w:sz w:val="22"/>
                <w:szCs w:val="22"/>
                <w:lang w:bidi="ar"/>
              </w:rPr>
              <w:t>出具成果是否体现较高的专业水平</w:t>
            </w:r>
          </w:p>
        </w:tc>
        <w:tc>
          <w:tcPr>
            <w:tcW w:w="873" w:type="dxa"/>
            <w:tcBorders>
              <w:top w:val="single" w:color="auto" w:sz="4" w:space="0"/>
              <w:left w:val="single" w:color="auto" w:sz="4" w:space="0"/>
              <w:bottom w:val="single" w:color="auto" w:sz="4" w:space="0"/>
              <w:right w:val="single" w:color="auto" w:sz="4" w:space="0"/>
              <w:tl2br w:val="nil"/>
              <w:tr2bl w:val="nil"/>
            </w:tcBorders>
            <w:noWrap/>
            <w:vAlign w:val="center"/>
          </w:tcPr>
          <w:p w14:paraId="3820A030">
            <w:pPr>
              <w:spacing w:beforeLines="0" w:afterLines="0"/>
              <w:rPr>
                <w:rFonts w:hint="default" w:ascii="宋体" w:hAnsi="宋体" w:cs="宋体"/>
                <w:color w:val="000000"/>
                <w:sz w:val="22"/>
                <w:szCs w:val="22"/>
              </w:rPr>
            </w:pPr>
            <w:r>
              <w:rPr>
                <w:rFonts w:hint="default" w:ascii="宋体" w:hAnsi="宋体" w:cs="宋体"/>
                <w:color w:val="000000"/>
                <w:sz w:val="22"/>
                <w:szCs w:val="22"/>
              </w:rPr>
              <w:t>10</w:t>
            </w: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B498E6F">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0B6CA29B">
            <w:pPr>
              <w:spacing w:beforeLines="0" w:afterLines="0"/>
              <w:rPr>
                <w:rFonts w:hint="default" w:ascii="宋体" w:hAnsi="宋体" w:cs="宋体"/>
                <w:color w:val="000000"/>
                <w:sz w:val="22"/>
                <w:szCs w:val="22"/>
              </w:rPr>
            </w:pPr>
          </w:p>
        </w:tc>
        <w:tc>
          <w:tcPr>
            <w:tcW w:w="590" w:type="dxa"/>
            <w:tcBorders>
              <w:top w:val="single" w:color="auto" w:sz="4" w:space="0"/>
              <w:left w:val="single" w:color="auto" w:sz="4" w:space="0"/>
              <w:bottom w:val="single" w:color="auto" w:sz="4" w:space="0"/>
              <w:right w:val="single" w:color="auto" w:sz="4" w:space="0"/>
              <w:tl2br w:val="nil"/>
              <w:tr2bl w:val="nil"/>
            </w:tcBorders>
            <w:noWrap/>
            <w:vAlign w:val="center"/>
          </w:tcPr>
          <w:p w14:paraId="67BF8D3C">
            <w:pPr>
              <w:spacing w:beforeLines="0" w:afterLines="0"/>
              <w:rPr>
                <w:rFonts w:hint="default" w:ascii="宋体" w:hAnsi="宋体" w:cs="宋体"/>
                <w:color w:val="000000"/>
                <w:sz w:val="22"/>
                <w:szCs w:val="22"/>
              </w:rPr>
            </w:pPr>
          </w:p>
        </w:tc>
        <w:tc>
          <w:tcPr>
            <w:tcW w:w="732" w:type="dxa"/>
            <w:tcBorders>
              <w:top w:val="single" w:color="auto" w:sz="4" w:space="0"/>
              <w:left w:val="single" w:color="auto" w:sz="4" w:space="0"/>
              <w:bottom w:val="single" w:color="auto" w:sz="4" w:space="0"/>
              <w:right w:val="single" w:color="auto" w:sz="4" w:space="0"/>
              <w:tl2br w:val="nil"/>
              <w:tr2bl w:val="nil"/>
            </w:tcBorders>
            <w:noWrap/>
            <w:vAlign w:val="center"/>
          </w:tcPr>
          <w:p w14:paraId="75EC13BD">
            <w:pPr>
              <w:spacing w:beforeLines="0" w:afterLines="0"/>
              <w:rPr>
                <w:rFonts w:hint="default" w:ascii="宋体" w:hAnsi="宋体" w:cs="宋体"/>
                <w:color w:val="000000"/>
                <w:sz w:val="22"/>
                <w:szCs w:val="22"/>
              </w:rPr>
            </w:pPr>
          </w:p>
        </w:tc>
        <w:tc>
          <w:tcPr>
            <w:tcW w:w="592" w:type="dxa"/>
            <w:tcBorders>
              <w:top w:val="single" w:color="auto" w:sz="4" w:space="0"/>
              <w:left w:val="single" w:color="auto" w:sz="4" w:space="0"/>
              <w:bottom w:val="single" w:color="auto" w:sz="4" w:space="0"/>
              <w:right w:val="single" w:color="auto" w:sz="4" w:space="0"/>
              <w:tl2br w:val="nil"/>
              <w:tr2bl w:val="nil"/>
            </w:tcBorders>
            <w:noWrap/>
            <w:vAlign w:val="center"/>
          </w:tcPr>
          <w:p w14:paraId="10BB9E25">
            <w:pPr>
              <w:spacing w:beforeLines="0" w:afterLines="0"/>
              <w:rPr>
                <w:rFonts w:hint="default" w:ascii="宋体" w:hAnsi="宋体" w:cs="宋体"/>
                <w:color w:val="000000"/>
                <w:sz w:val="22"/>
                <w:szCs w:val="22"/>
              </w:rPr>
            </w:pPr>
          </w:p>
        </w:tc>
      </w:tr>
      <w:tr w14:paraId="7D14D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176" w:type="dxa"/>
            <w:gridSpan w:val="9"/>
            <w:tcBorders>
              <w:top w:val="single" w:color="auto" w:sz="4" w:space="0"/>
              <w:left w:val="single" w:color="auto" w:sz="4" w:space="0"/>
              <w:bottom w:val="single" w:color="auto" w:sz="4" w:space="0"/>
              <w:right w:val="single" w:color="auto" w:sz="4" w:space="0"/>
              <w:tl2br w:val="nil"/>
              <w:tr2bl w:val="nil"/>
            </w:tcBorders>
            <w:noWrap/>
            <w:vAlign w:val="center"/>
          </w:tcPr>
          <w:p w14:paraId="28FD0F7B">
            <w:pPr>
              <w:spacing w:beforeLines="0" w:afterLines="0"/>
              <w:rPr>
                <w:rFonts w:hint="default" w:ascii="宋体" w:hAnsi="宋体" w:cs="宋体"/>
                <w:color w:val="000000"/>
                <w:sz w:val="22"/>
                <w:szCs w:val="22"/>
              </w:rPr>
            </w:pPr>
            <w:r>
              <w:rPr>
                <w:rFonts w:hint="default" w:ascii="宋体" w:hAnsi="宋体" w:cs="宋体"/>
                <w:color w:val="000000"/>
                <w:sz w:val="22"/>
                <w:szCs w:val="22"/>
              </w:rPr>
              <w:t>注：在评级是合格或者不合格时，根据审核事项的权重分值和审核过程中出现的审核问题进行扣分，当</w:t>
            </w:r>
            <w:r>
              <w:rPr>
                <w:rFonts w:hint="eastAsia" w:ascii="宋体" w:hAnsi="宋体" w:cs="宋体"/>
                <w:color w:val="000000"/>
                <w:sz w:val="22"/>
                <w:szCs w:val="22"/>
                <w:lang w:val="en-US" w:eastAsia="zh-CN"/>
              </w:rPr>
              <w:t>单项年度</w:t>
            </w:r>
            <w:r>
              <w:rPr>
                <w:rFonts w:hint="default" w:ascii="宋体" w:hAnsi="宋体" w:cs="宋体"/>
                <w:color w:val="000000"/>
                <w:sz w:val="22"/>
                <w:szCs w:val="22"/>
              </w:rPr>
              <w:t>扣分</w:t>
            </w:r>
            <w:r>
              <w:rPr>
                <w:rFonts w:hint="eastAsia" w:ascii="宋体" w:hAnsi="宋体" w:cs="宋体"/>
                <w:color w:val="000000"/>
                <w:sz w:val="22"/>
                <w:szCs w:val="22"/>
                <w:lang w:val="en-US" w:eastAsia="zh-CN"/>
              </w:rPr>
              <w:t>5</w:t>
            </w:r>
            <w:r>
              <w:rPr>
                <w:rFonts w:hint="default" w:ascii="宋体" w:hAnsi="宋体" w:cs="宋体"/>
                <w:color w:val="000000"/>
                <w:sz w:val="22"/>
                <w:szCs w:val="22"/>
              </w:rPr>
              <w:t>分以内</w:t>
            </w:r>
            <w:r>
              <w:rPr>
                <w:rFonts w:hint="eastAsia" w:ascii="宋体" w:hAnsi="宋体" w:cs="宋体"/>
                <w:color w:val="000000"/>
                <w:sz w:val="22"/>
                <w:szCs w:val="22"/>
                <w:lang w:val="en-US" w:eastAsia="zh-CN"/>
              </w:rPr>
              <w:t>且年度总扣分不超过30分</w:t>
            </w:r>
            <w:r>
              <w:rPr>
                <w:rFonts w:hint="default" w:ascii="宋体" w:hAnsi="宋体" w:cs="宋体"/>
                <w:color w:val="000000"/>
                <w:sz w:val="22"/>
                <w:szCs w:val="22"/>
              </w:rPr>
              <w:t>的不影响服务费的支付，</w:t>
            </w:r>
            <w:r>
              <w:rPr>
                <w:rFonts w:hint="eastAsia" w:ascii="宋体" w:hAnsi="宋体" w:cs="宋体"/>
                <w:color w:val="000000"/>
                <w:sz w:val="22"/>
                <w:szCs w:val="22"/>
                <w:lang w:val="en-US" w:eastAsia="zh-CN"/>
              </w:rPr>
              <w:t>单项年度</w:t>
            </w:r>
            <w:r>
              <w:rPr>
                <w:rFonts w:hint="default" w:ascii="宋体" w:hAnsi="宋体" w:cs="宋体"/>
                <w:color w:val="000000"/>
                <w:sz w:val="22"/>
                <w:szCs w:val="22"/>
              </w:rPr>
              <w:t>扣分</w:t>
            </w:r>
            <w:r>
              <w:rPr>
                <w:rFonts w:hint="eastAsia" w:ascii="宋体" w:hAnsi="宋体" w:cs="宋体"/>
                <w:color w:val="000000"/>
                <w:sz w:val="22"/>
                <w:szCs w:val="22"/>
                <w:lang w:val="en-US" w:eastAsia="zh-CN"/>
              </w:rPr>
              <w:t>5</w:t>
            </w:r>
            <w:r>
              <w:rPr>
                <w:rFonts w:hint="default" w:ascii="宋体" w:hAnsi="宋体" w:cs="宋体"/>
                <w:color w:val="000000"/>
                <w:sz w:val="22"/>
                <w:szCs w:val="22"/>
              </w:rPr>
              <w:t>-</w:t>
            </w:r>
            <w:r>
              <w:rPr>
                <w:rFonts w:hint="eastAsia" w:ascii="宋体" w:hAnsi="宋体" w:cs="宋体"/>
                <w:color w:val="000000"/>
                <w:sz w:val="22"/>
                <w:szCs w:val="22"/>
                <w:lang w:val="en-US" w:eastAsia="zh-CN"/>
              </w:rPr>
              <w:t>10</w:t>
            </w:r>
            <w:r>
              <w:rPr>
                <w:rFonts w:hint="default" w:ascii="宋体" w:hAnsi="宋体" w:cs="宋体"/>
                <w:color w:val="000000"/>
                <w:sz w:val="22"/>
                <w:szCs w:val="22"/>
              </w:rPr>
              <w:t>分</w:t>
            </w:r>
            <w:r>
              <w:rPr>
                <w:rFonts w:hint="eastAsia" w:ascii="宋体" w:hAnsi="宋体" w:cs="宋体"/>
                <w:color w:val="000000"/>
                <w:sz w:val="22"/>
                <w:szCs w:val="22"/>
                <w:lang w:val="en-US" w:eastAsia="zh-CN"/>
              </w:rPr>
              <w:t>且年度总扣分不超过50分</w:t>
            </w:r>
            <w:r>
              <w:rPr>
                <w:rFonts w:hint="default" w:ascii="宋体" w:hAnsi="宋体" w:cs="宋体"/>
                <w:color w:val="000000"/>
                <w:sz w:val="22"/>
                <w:szCs w:val="22"/>
              </w:rPr>
              <w:t>的扣除年度服务费的10%，</w:t>
            </w:r>
            <w:r>
              <w:rPr>
                <w:rFonts w:hint="eastAsia" w:ascii="宋体" w:hAnsi="宋体" w:cs="宋体"/>
                <w:color w:val="000000"/>
                <w:sz w:val="22"/>
                <w:szCs w:val="22"/>
                <w:lang w:val="en-US" w:eastAsia="zh-CN"/>
              </w:rPr>
              <w:t>单项年度</w:t>
            </w:r>
            <w:r>
              <w:rPr>
                <w:rFonts w:hint="default" w:ascii="宋体" w:hAnsi="宋体" w:cs="宋体"/>
                <w:color w:val="000000"/>
                <w:sz w:val="22"/>
                <w:szCs w:val="22"/>
              </w:rPr>
              <w:t>扣分</w:t>
            </w:r>
            <w:r>
              <w:rPr>
                <w:rFonts w:hint="eastAsia" w:ascii="宋体" w:hAnsi="宋体" w:cs="宋体"/>
                <w:color w:val="000000"/>
                <w:sz w:val="22"/>
                <w:szCs w:val="22"/>
                <w:lang w:val="en-US" w:eastAsia="zh-CN"/>
              </w:rPr>
              <w:t>10</w:t>
            </w:r>
            <w:r>
              <w:rPr>
                <w:rFonts w:hint="default" w:ascii="宋体" w:hAnsi="宋体" w:cs="宋体"/>
                <w:color w:val="000000"/>
                <w:sz w:val="22"/>
                <w:szCs w:val="22"/>
              </w:rPr>
              <w:t>-</w:t>
            </w:r>
            <w:r>
              <w:rPr>
                <w:rFonts w:hint="eastAsia" w:ascii="宋体" w:hAnsi="宋体" w:cs="宋体"/>
                <w:color w:val="000000"/>
                <w:sz w:val="22"/>
                <w:szCs w:val="22"/>
                <w:lang w:val="en-US" w:eastAsia="zh-CN"/>
              </w:rPr>
              <w:t>15</w:t>
            </w:r>
            <w:r>
              <w:rPr>
                <w:rFonts w:hint="default" w:ascii="宋体" w:hAnsi="宋体" w:cs="宋体"/>
                <w:color w:val="000000"/>
                <w:sz w:val="22"/>
                <w:szCs w:val="22"/>
              </w:rPr>
              <w:t>分</w:t>
            </w:r>
            <w:r>
              <w:rPr>
                <w:rFonts w:hint="eastAsia" w:ascii="宋体" w:hAnsi="宋体" w:cs="宋体"/>
                <w:color w:val="000000"/>
                <w:sz w:val="22"/>
                <w:szCs w:val="22"/>
                <w:lang w:val="en-US" w:eastAsia="zh-CN"/>
              </w:rPr>
              <w:t>且年度总扣分不超过80分</w:t>
            </w:r>
            <w:r>
              <w:rPr>
                <w:rFonts w:hint="default" w:ascii="宋体" w:hAnsi="宋体" w:cs="宋体"/>
                <w:color w:val="000000"/>
                <w:sz w:val="22"/>
                <w:szCs w:val="22"/>
              </w:rPr>
              <w:t>的扣除年度服务费的30%，</w:t>
            </w:r>
            <w:r>
              <w:rPr>
                <w:rFonts w:hint="eastAsia" w:ascii="宋体" w:hAnsi="宋体" w:cs="宋体"/>
                <w:color w:val="000000"/>
                <w:sz w:val="22"/>
                <w:szCs w:val="22"/>
                <w:lang w:val="en-US" w:eastAsia="zh-CN"/>
              </w:rPr>
              <w:t>单项年度</w:t>
            </w:r>
            <w:r>
              <w:rPr>
                <w:rFonts w:hint="default" w:ascii="宋体" w:hAnsi="宋体" w:cs="宋体"/>
                <w:color w:val="000000"/>
                <w:sz w:val="22"/>
                <w:szCs w:val="22"/>
              </w:rPr>
              <w:t>扣分</w:t>
            </w:r>
            <w:r>
              <w:rPr>
                <w:rFonts w:hint="eastAsia" w:ascii="宋体" w:hAnsi="宋体" w:cs="宋体"/>
                <w:color w:val="000000"/>
                <w:sz w:val="22"/>
                <w:szCs w:val="22"/>
                <w:lang w:val="en-US" w:eastAsia="zh-CN"/>
              </w:rPr>
              <w:t>15</w:t>
            </w:r>
            <w:r>
              <w:rPr>
                <w:rFonts w:hint="default" w:ascii="宋体" w:hAnsi="宋体" w:cs="宋体"/>
                <w:color w:val="000000"/>
                <w:sz w:val="22"/>
                <w:szCs w:val="22"/>
              </w:rPr>
              <w:t>分以上</w:t>
            </w:r>
            <w:r>
              <w:rPr>
                <w:rFonts w:hint="eastAsia" w:ascii="宋体" w:hAnsi="宋体" w:cs="宋体"/>
                <w:color w:val="000000"/>
                <w:sz w:val="22"/>
                <w:szCs w:val="22"/>
                <w:lang w:val="en-US" w:eastAsia="zh-CN"/>
              </w:rPr>
              <w:t>且年度总扣分超过80分</w:t>
            </w:r>
            <w:r>
              <w:rPr>
                <w:rFonts w:hint="default" w:ascii="宋体" w:hAnsi="宋体" w:cs="宋体"/>
                <w:color w:val="000000"/>
                <w:sz w:val="22"/>
                <w:szCs w:val="22"/>
              </w:rPr>
              <w:t>的扣除年度服务费的50%，如</w:t>
            </w:r>
            <w:r>
              <w:rPr>
                <w:rFonts w:hint="eastAsia" w:ascii="宋体" w:hAnsi="宋体" w:cs="宋体"/>
                <w:color w:val="000000"/>
                <w:sz w:val="22"/>
                <w:szCs w:val="22"/>
                <w:lang w:val="en-US" w:eastAsia="zh-CN"/>
              </w:rPr>
              <w:t>单项年度</w:t>
            </w:r>
            <w:r>
              <w:rPr>
                <w:rFonts w:hint="default" w:ascii="宋体" w:hAnsi="宋体" w:cs="宋体"/>
                <w:color w:val="000000"/>
                <w:sz w:val="22"/>
                <w:szCs w:val="22"/>
              </w:rPr>
              <w:t>扣分</w:t>
            </w:r>
            <w:r>
              <w:rPr>
                <w:rFonts w:hint="eastAsia" w:ascii="宋体" w:hAnsi="宋体" w:cs="宋体"/>
                <w:color w:val="000000"/>
                <w:sz w:val="22"/>
                <w:szCs w:val="22"/>
                <w:lang w:val="en-US" w:eastAsia="zh-CN"/>
              </w:rPr>
              <w:t>15</w:t>
            </w:r>
            <w:r>
              <w:rPr>
                <w:rFonts w:hint="default" w:ascii="宋体" w:hAnsi="宋体" w:cs="宋体"/>
                <w:color w:val="000000"/>
                <w:sz w:val="22"/>
                <w:szCs w:val="22"/>
              </w:rPr>
              <w:t>分以上</w:t>
            </w:r>
            <w:r>
              <w:rPr>
                <w:rFonts w:hint="eastAsia" w:ascii="宋体" w:hAnsi="宋体" w:cs="宋体"/>
                <w:color w:val="000000"/>
                <w:sz w:val="22"/>
                <w:szCs w:val="22"/>
                <w:lang w:val="en-US" w:eastAsia="zh-CN"/>
              </w:rPr>
              <w:t>且年度总扣分超过80分</w:t>
            </w:r>
            <w:r>
              <w:rPr>
                <w:rFonts w:hint="default" w:ascii="宋体" w:hAnsi="宋体" w:cs="宋体"/>
                <w:color w:val="000000"/>
                <w:sz w:val="22"/>
                <w:szCs w:val="22"/>
              </w:rPr>
              <w:t>且未到服务截止日期的有权单方解除合同。年度整体评价是每个需求单位在服务期内对服务单位的整体评价，独立于具体事项的评分，采取扣分制，具体审核内容未扣分不影响整体评价的扣分。</w:t>
            </w:r>
          </w:p>
        </w:tc>
      </w:tr>
    </w:tbl>
    <w:p w14:paraId="0473B50B">
      <w:pPr>
        <w:spacing w:line="560" w:lineRule="exact"/>
        <w:rPr>
          <w:rFonts w:hint="eastAsia" w:ascii="仿宋_GB2312" w:hAnsi="仿宋_GB2312" w:eastAsia="仿宋_GB2312" w:cs="仿宋_GB2312"/>
          <w:sz w:val="32"/>
          <w:szCs w:val="32"/>
        </w:rPr>
      </w:pPr>
    </w:p>
    <w:p w14:paraId="18F033AD">
      <w:pPr>
        <w:spacing w:line="560" w:lineRule="exact"/>
        <w:rPr>
          <w:rFonts w:hint="eastAsia" w:ascii="仿宋_GB2312" w:hAnsi="仿宋_GB2312" w:eastAsia="仿宋_GB2312" w:cs="仿宋_GB2312"/>
          <w:sz w:val="32"/>
          <w:szCs w:val="32"/>
        </w:rPr>
      </w:pPr>
    </w:p>
    <w:p w14:paraId="56343C59">
      <w:pPr>
        <w:spacing w:line="560" w:lineRule="exact"/>
        <w:rPr>
          <w:rFonts w:hint="eastAsia" w:ascii="仿宋_GB2312" w:hAnsi="仿宋_GB2312" w:eastAsia="仿宋_GB2312" w:cs="仿宋_GB2312"/>
          <w:sz w:val="32"/>
          <w:szCs w:val="32"/>
        </w:rPr>
      </w:pPr>
    </w:p>
    <w:p w14:paraId="51828235">
      <w:pPr>
        <w:spacing w:line="560" w:lineRule="exact"/>
        <w:rPr>
          <w:rFonts w:hint="eastAsia" w:ascii="仿宋_GB2312" w:hAnsi="仿宋_GB2312" w:eastAsia="仿宋_GB2312" w:cs="仿宋_GB2312"/>
          <w:sz w:val="32"/>
          <w:szCs w:val="32"/>
        </w:rPr>
      </w:pPr>
    </w:p>
    <w:p w14:paraId="438896F6">
      <w:pPr>
        <w:spacing w:line="560" w:lineRule="exact"/>
        <w:rPr>
          <w:rFonts w:hint="eastAsia" w:ascii="仿宋_GB2312" w:hAnsi="仿宋_GB2312" w:eastAsia="仿宋_GB2312" w:cs="仿宋_GB2312"/>
          <w:sz w:val="32"/>
          <w:szCs w:val="32"/>
        </w:rPr>
      </w:pPr>
    </w:p>
    <w:p w14:paraId="78C9A2A7">
      <w:pPr>
        <w:spacing w:line="560" w:lineRule="exact"/>
        <w:rPr>
          <w:rFonts w:hint="eastAsia" w:ascii="仿宋_GB2312" w:hAnsi="仿宋_GB2312" w:eastAsia="仿宋_GB2312" w:cs="仿宋_GB2312"/>
          <w:sz w:val="32"/>
          <w:szCs w:val="32"/>
        </w:rPr>
      </w:pPr>
    </w:p>
    <w:p w14:paraId="6066599B">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甲方（盖章）：                  乙方（盖章）：</w:t>
      </w:r>
    </w:p>
    <w:p w14:paraId="518879EE">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法定代表人/授权代表：          法定代表人/授权代表：</w:t>
      </w:r>
    </w:p>
    <w:p w14:paraId="7BBA8B81">
      <w:pPr>
        <w:snapToGrid/>
        <w:spacing w:line="560" w:lineRule="exact"/>
        <w:ind w:firstLine="0" w:firstLineChars="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经办人：</w:t>
      </w:r>
    </w:p>
    <w:p w14:paraId="1A8D827B">
      <w:pPr>
        <w:snapToGrid w:val="0"/>
        <w:spacing w:line="680" w:lineRule="exact"/>
        <w:ind w:firstLine="2240" w:firstLineChars="700"/>
        <w:jc w:val="left"/>
        <w:rPr>
          <w:rFonts w:hint="eastAsia" w:ascii="仿宋_GB2312" w:hAnsi="仿宋_GB2312" w:eastAsia="仿宋_GB2312" w:cs="仿宋_GB2312"/>
          <w:color w:val="000000" w:themeColor="text1"/>
          <w:sz w:val="32"/>
          <w:szCs w:val="32"/>
          <w14:textFill>
            <w14:solidFill>
              <w14:schemeClr w14:val="tx1"/>
            </w14:solidFill>
          </w14:textFill>
        </w:rPr>
      </w:pPr>
    </w:p>
    <w:p w14:paraId="5987F573">
      <w:pPr>
        <w:snapToGrid w:val="0"/>
        <w:spacing w:line="680" w:lineRule="exact"/>
        <w:ind w:firstLine="2240" w:firstLineChars="7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签约日期：　　年　　月　　日</w:t>
      </w:r>
    </w:p>
    <w:p w14:paraId="3623EA6B">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default" w:ascii="Times New Roman" w:hAnsi="Times New Roman" w:cs="Times New Roman"/>
          <w:lang w:val="en-US" w:eastAsia="zh-CN"/>
        </w:rPr>
        <w:sectPr>
          <w:pgSz w:w="11906" w:h="16838"/>
          <w:pgMar w:top="1440" w:right="1417" w:bottom="1440" w:left="1417" w:header="851" w:footer="992" w:gutter="0"/>
          <w:pgNumType w:fmt="decimal" w:start="1"/>
          <w:cols w:space="425" w:num="1"/>
          <w:docGrid w:type="lines" w:linePitch="312" w:charSpace="0"/>
        </w:sectPr>
      </w:pPr>
    </w:p>
    <w:p w14:paraId="61BD16E1">
      <w:pPr>
        <w:autoSpaceDE w:val="0"/>
        <w:autoSpaceDN w:val="0"/>
        <w:spacing w:line="240" w:lineRule="auto"/>
        <w:ind w:firstLine="0" w:firstLineChars="0"/>
        <w:jc w:val="left"/>
        <w:rPr>
          <w:rFonts w:hint="default" w:ascii="方正小标宋简体" w:hAnsi="方正小标宋简体" w:eastAsia="方正小标宋简体" w:cs="方正小标宋简体"/>
          <w:b w:val="0"/>
          <w:bCs w:val="0"/>
          <w:snapToGrid/>
          <w:color w:val="auto"/>
          <w:spacing w:val="0"/>
          <w:kern w:val="2"/>
          <w:sz w:val="28"/>
          <w:szCs w:val="28"/>
          <w:highlight w:val="none"/>
          <w:lang w:val="en-US" w:eastAsia="zh-CN" w:bidi="ar-SA"/>
        </w:rPr>
      </w:pPr>
      <w:r>
        <w:rPr>
          <w:rFonts w:hint="eastAsia" w:ascii="方正小标宋简体" w:hAnsi="方正小标宋简体" w:eastAsia="方正小标宋简体" w:cs="方正小标宋简体"/>
          <w:b w:val="0"/>
          <w:bCs w:val="0"/>
          <w:snapToGrid/>
          <w:color w:val="auto"/>
          <w:spacing w:val="0"/>
          <w:kern w:val="2"/>
          <w:sz w:val="28"/>
          <w:szCs w:val="28"/>
          <w:highlight w:val="none"/>
          <w:lang w:val="en-US" w:eastAsia="zh-CN" w:bidi="ar-SA"/>
        </w:rPr>
        <w:t>附件2</w:t>
      </w:r>
      <w:bookmarkStart w:id="1" w:name="_GoBack"/>
      <w:bookmarkEnd w:id="1"/>
    </w:p>
    <w:p w14:paraId="68667BF8">
      <w:pPr>
        <w:autoSpaceDE w:val="0"/>
        <w:autoSpaceDN w:val="0"/>
        <w:spacing w:line="240" w:lineRule="auto"/>
        <w:ind w:firstLine="0" w:firstLineChars="0"/>
        <w:jc w:val="center"/>
        <w:rPr>
          <w:rFonts w:hint="default" w:ascii="仿宋_GB2312" w:hAnsi="仿宋_GB2312" w:eastAsia="仿宋_GB2312" w:cs="仿宋_GB2312"/>
          <w:b/>
          <w:bCs/>
          <w:snapToGrid/>
          <w:color w:val="auto"/>
          <w:spacing w:val="0"/>
          <w:kern w:val="2"/>
          <w:sz w:val="24"/>
          <w:szCs w:val="24"/>
          <w:highlight w:val="none"/>
          <w:lang w:val="en-US" w:eastAsia="zh-CN" w:bidi="ar-SA"/>
        </w:rPr>
      </w:pPr>
      <w:r>
        <w:rPr>
          <w:rFonts w:hint="eastAsia" w:ascii="方正小标宋简体" w:hAnsi="方正小标宋简体" w:eastAsia="方正小标宋简体" w:cs="方正小标宋简体"/>
          <w:b w:val="0"/>
          <w:bCs w:val="0"/>
          <w:snapToGrid/>
          <w:color w:val="auto"/>
          <w:spacing w:val="0"/>
          <w:kern w:val="2"/>
          <w:sz w:val="28"/>
          <w:szCs w:val="28"/>
          <w:highlight w:val="none"/>
          <w:lang w:val="en-US" w:eastAsia="zh-CN" w:bidi="ar-SA"/>
        </w:rPr>
        <w:t>供应商信用承诺函</w:t>
      </w:r>
      <w:r>
        <w:rPr>
          <w:rFonts w:hint="default" w:ascii="仿宋_GB2312" w:hAnsi="仿宋_GB2312" w:eastAsia="仿宋_GB2312" w:cs="仿宋_GB2312"/>
          <w:b w:val="0"/>
          <w:bCs w:val="0"/>
          <w:snapToGrid/>
          <w:color w:val="auto"/>
          <w:spacing w:val="0"/>
          <w:kern w:val="2"/>
          <w:sz w:val="28"/>
          <w:szCs w:val="28"/>
          <w:highlight w:val="none"/>
          <w:lang w:val="en-US" w:eastAsia="zh-CN" w:bidi="ar-SA"/>
        </w:rPr>
        <w:t>​</w:t>
      </w:r>
    </w:p>
    <w:p w14:paraId="1BFD8A95">
      <w:pPr>
        <w:autoSpaceDE w:val="0"/>
        <w:autoSpaceDN w:val="0"/>
        <w:spacing w:line="560" w:lineRule="exact"/>
        <w:ind w:firstLine="0" w:firstLineChars="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default" w:ascii="仿宋_GB2312" w:hAnsi="仿宋_GB2312" w:eastAsia="仿宋_GB2312" w:cs="仿宋_GB2312"/>
          <w:b w:val="0"/>
          <w:bCs w:val="0"/>
          <w:snapToGrid/>
          <w:color w:val="auto"/>
          <w:spacing w:val="0"/>
          <w:kern w:val="2"/>
          <w:sz w:val="24"/>
          <w:szCs w:val="24"/>
          <w:highlight w:val="none"/>
          <w:lang w:val="en-US" w:eastAsia="zh-CN" w:bidi="ar-SA"/>
        </w:rPr>
        <w:t>致：</w:t>
      </w:r>
      <w:r>
        <w:rPr>
          <w:rFonts w:hint="default" w:ascii="仿宋_GB2312" w:hAnsi="仿宋_GB2312" w:eastAsia="仿宋_GB2312" w:cs="仿宋_GB2312"/>
          <w:b w:val="0"/>
          <w:bCs w:val="0"/>
          <w:snapToGrid/>
          <w:color w:val="auto"/>
          <w:spacing w:val="0"/>
          <w:kern w:val="2"/>
          <w:sz w:val="24"/>
          <w:szCs w:val="24"/>
          <w:highlight w:val="none"/>
          <w:u w:val="single"/>
          <w:lang w:val="en-US" w:eastAsia="zh-CN" w:bidi="ar-SA"/>
        </w:rPr>
        <w:t>海口桂林洋投资发展控股有限公司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w:t>
      </w:r>
    </w:p>
    <w:p w14:paraId="61852FC4">
      <w:pPr>
        <w:autoSpaceDE/>
        <w:autoSpaceDN/>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hAnsi="仿宋_GB2312" w:cs="仿宋_GB2312"/>
          <w:b w:val="0"/>
          <w:bCs w:val="0"/>
          <w:snapToGrid/>
          <w:color w:val="auto"/>
          <w:spacing w:val="0"/>
          <w:kern w:val="2"/>
          <w:sz w:val="24"/>
          <w:szCs w:val="24"/>
          <w:highlight w:val="none"/>
          <w:lang w:val="en-US" w:eastAsia="zh-CN" w:bidi="ar-SA"/>
        </w:rPr>
        <w:t>我司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参与</w:t>
      </w:r>
      <w:r>
        <w:rPr>
          <w:rFonts w:hint="default" w:ascii="仿宋_GB2312" w:hAnsi="仿宋_GB2312" w:eastAsia="仿宋_GB2312" w:cs="仿宋_GB2312"/>
          <w:b w:val="0"/>
          <w:bCs w:val="0"/>
          <w:snapToGrid/>
          <w:color w:val="auto"/>
          <w:spacing w:val="0"/>
          <w:kern w:val="2"/>
          <w:sz w:val="24"/>
          <w:szCs w:val="24"/>
          <w:highlight w:val="none"/>
          <w:u w:val="single"/>
          <w:lang w:val="en-US" w:eastAsia="zh-CN" w:bidi="ar-SA"/>
        </w:rPr>
        <w:t>海口桂林洋投资发展控股有限公司2026年度法律顾问项目</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竞价比选</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活动，</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现我</w:t>
      </w:r>
      <w:r>
        <w:rPr>
          <w:rFonts w:hint="eastAsia" w:hAnsi="仿宋_GB2312" w:cs="仿宋_GB2312"/>
          <w:b w:val="0"/>
          <w:bCs w:val="0"/>
          <w:snapToGrid/>
          <w:color w:val="auto"/>
          <w:spacing w:val="0"/>
          <w:kern w:val="2"/>
          <w:sz w:val="24"/>
          <w:szCs w:val="24"/>
          <w:highlight w:val="none"/>
          <w:lang w:val="en-US" w:eastAsia="zh-CN" w:bidi="ar-SA"/>
        </w:rPr>
        <w:t>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郑重承诺</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如下</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w:t>
      </w:r>
    </w:p>
    <w:p w14:paraId="5B6E0CE4">
      <w:pPr>
        <w:keepNext w:val="0"/>
        <w:keepLines w:val="0"/>
        <w:pageBreakBefore w:val="0"/>
        <w:numPr>
          <w:ilvl w:val="0"/>
          <w:numId w:val="0"/>
        </w:numPr>
        <w:kinsoku/>
        <w:wordWrap/>
        <w:overflowPunct/>
        <w:topLinePunct w:val="0"/>
        <w:autoSpaceDE/>
        <w:autoSpaceDN/>
        <w:bidi w:val="0"/>
        <w:adjustRightInd w:val="0"/>
        <w:snapToGrid w:val="0"/>
        <w:spacing w:line="560" w:lineRule="exact"/>
        <w:ind w:leftChars="0" w:firstLine="480" w:firstLineChars="200"/>
        <w:jc w:val="both"/>
        <w:rPr>
          <w:rFonts w:hint="eastAsia"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lang w:val="en-US" w:eastAsia="zh-CN" w:bidi="ar-SA"/>
        </w:rPr>
        <w:t>一、</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截至本承诺函</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签署</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之日，我</w:t>
      </w:r>
      <w:r>
        <w:rPr>
          <w:rFonts w:hint="eastAsia" w:hAnsi="仿宋_GB2312" w:cs="仿宋_GB2312"/>
          <w:b w:val="0"/>
          <w:bCs w:val="0"/>
          <w:snapToGrid/>
          <w:color w:val="auto"/>
          <w:spacing w:val="0"/>
          <w:kern w:val="2"/>
          <w:sz w:val="24"/>
          <w:szCs w:val="24"/>
          <w:highlight w:val="none"/>
          <w:lang w:val="en-US" w:eastAsia="zh-CN" w:bidi="ar-SA"/>
        </w:rPr>
        <w:t>司</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不存在下列情形：</w:t>
      </w:r>
    </w:p>
    <w:p w14:paraId="17EBE8E2">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供应商相互串通投标或者与采购人串通投标的，供应商向采购人或者评标委员会成员行贿的；</w:t>
      </w:r>
    </w:p>
    <w:p w14:paraId="4E02D921">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default" w:ascii="仿宋_GB2312" w:hAnsi="仿宋_GB2312" w:eastAsia="仿宋_GB2312" w:cs="仿宋_GB2312"/>
          <w:b w:val="0"/>
          <w:bCs w:val="0"/>
          <w:snapToGrid w:val="0"/>
          <w:color w:val="auto"/>
          <w:spacing w:val="-1"/>
          <w:kern w:val="0"/>
          <w:sz w:val="24"/>
          <w:szCs w:val="24"/>
          <w:highlight w:val="none"/>
          <w:lang w:val="en-US" w:eastAsia="zh-CN" w:bidi="ar"/>
        </w:rPr>
      </w:pP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以他人名义投标</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、提供虚假材料</w:t>
      </w: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或者以其他方式弄虚作假的</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w:t>
      </w:r>
    </w:p>
    <w:p w14:paraId="773F149D">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default" w:ascii="仿宋_GB2312" w:hAnsi="仿宋_GB2312" w:eastAsia="仿宋_GB2312" w:cs="仿宋_GB2312"/>
          <w:b w:val="0"/>
          <w:bCs w:val="0"/>
          <w:snapToGrid w:val="0"/>
          <w:color w:val="auto"/>
          <w:spacing w:val="-1"/>
          <w:kern w:val="0"/>
          <w:sz w:val="24"/>
          <w:szCs w:val="24"/>
          <w:highlight w:val="none"/>
          <w:lang w:val="en-US" w:eastAsia="zh-CN" w:bidi="ar"/>
        </w:rPr>
      </w:pP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出让或者出租资格、资质证书供他人投标的；</w:t>
      </w:r>
    </w:p>
    <w:p w14:paraId="6C148D78">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default" w:ascii="仿宋_GB2312" w:hAnsi="仿宋_GB2312" w:eastAsia="仿宋_GB2312" w:cs="仿宋_GB2312"/>
          <w:b w:val="0"/>
          <w:bCs w:val="0"/>
          <w:snapToGrid w:val="0"/>
          <w:color w:val="auto"/>
          <w:spacing w:val="-1"/>
          <w:kern w:val="0"/>
          <w:sz w:val="24"/>
          <w:szCs w:val="24"/>
          <w:highlight w:val="none"/>
          <w:lang w:val="en-US" w:eastAsia="zh-CN" w:bidi="ar"/>
        </w:rPr>
      </w:pP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供应商或者其他利害关系人捏造事实、伪造材料或者以非法手段取得证明材料进行投诉</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，给他人造成损失的；</w:t>
      </w:r>
    </w:p>
    <w:p w14:paraId="169EF114">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default"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snapToGrid w:val="0"/>
          <w:color w:val="auto"/>
          <w:spacing w:val="-1"/>
          <w:kern w:val="0"/>
          <w:sz w:val="24"/>
          <w:szCs w:val="24"/>
          <w:highlight w:val="none"/>
          <w:lang w:val="en-US" w:eastAsia="zh-CN" w:bidi="ar"/>
        </w:rPr>
        <w:t>成交</w:t>
      </w:r>
      <w:r>
        <w:rPr>
          <w:rFonts w:hint="default" w:ascii="仿宋_GB2312" w:hAnsi="仿宋_GB2312" w:eastAsia="仿宋_GB2312" w:cs="仿宋_GB2312"/>
          <w:snapToGrid w:val="0"/>
          <w:color w:val="auto"/>
          <w:spacing w:val="-1"/>
          <w:kern w:val="0"/>
          <w:sz w:val="24"/>
          <w:szCs w:val="24"/>
          <w:highlight w:val="none"/>
          <w:lang w:eastAsia="en-US" w:bidi="ar"/>
        </w:rPr>
        <w:t>人将</w:t>
      </w:r>
      <w:r>
        <w:rPr>
          <w:rFonts w:hint="eastAsia" w:ascii="仿宋_GB2312" w:hAnsi="仿宋_GB2312" w:eastAsia="仿宋_GB2312" w:cs="仿宋_GB2312"/>
          <w:snapToGrid w:val="0"/>
          <w:color w:val="auto"/>
          <w:spacing w:val="-1"/>
          <w:kern w:val="0"/>
          <w:sz w:val="24"/>
          <w:szCs w:val="24"/>
          <w:highlight w:val="none"/>
          <w:lang w:val="en-US" w:eastAsia="zh-CN" w:bidi="ar"/>
        </w:rPr>
        <w:t>成交</w:t>
      </w:r>
      <w:r>
        <w:rPr>
          <w:rFonts w:hint="default" w:ascii="仿宋_GB2312" w:hAnsi="仿宋_GB2312" w:eastAsia="仿宋_GB2312" w:cs="仿宋_GB2312"/>
          <w:snapToGrid w:val="0"/>
          <w:color w:val="auto"/>
          <w:spacing w:val="-1"/>
          <w:kern w:val="0"/>
          <w:sz w:val="24"/>
          <w:szCs w:val="24"/>
          <w:highlight w:val="none"/>
          <w:lang w:eastAsia="en-US" w:bidi="ar"/>
        </w:rPr>
        <w:t>项目转让给他人的，将</w:t>
      </w:r>
      <w:r>
        <w:rPr>
          <w:rFonts w:hint="eastAsia" w:ascii="仿宋_GB2312" w:hAnsi="仿宋_GB2312" w:eastAsia="仿宋_GB2312" w:cs="仿宋_GB2312"/>
          <w:snapToGrid w:val="0"/>
          <w:color w:val="auto"/>
          <w:spacing w:val="-1"/>
          <w:kern w:val="0"/>
          <w:sz w:val="24"/>
          <w:szCs w:val="24"/>
          <w:highlight w:val="none"/>
          <w:lang w:val="en-US" w:eastAsia="zh-CN" w:bidi="ar"/>
        </w:rPr>
        <w:t>成交</w:t>
      </w:r>
      <w:r>
        <w:rPr>
          <w:rFonts w:hint="default" w:ascii="仿宋_GB2312" w:hAnsi="仿宋_GB2312" w:eastAsia="仿宋_GB2312" w:cs="仿宋_GB2312"/>
          <w:snapToGrid w:val="0"/>
          <w:color w:val="auto"/>
          <w:spacing w:val="-1"/>
          <w:kern w:val="0"/>
          <w:sz w:val="24"/>
          <w:szCs w:val="24"/>
          <w:highlight w:val="none"/>
          <w:lang w:eastAsia="en-US" w:bidi="ar"/>
        </w:rPr>
        <w:t>项目肢解后分别转让给他人的，违反《中华人民共和国招标投标法》规定将</w:t>
      </w:r>
      <w:r>
        <w:rPr>
          <w:rFonts w:hint="eastAsia" w:ascii="仿宋_GB2312" w:hAnsi="仿宋_GB2312" w:eastAsia="仿宋_GB2312" w:cs="仿宋_GB2312"/>
          <w:snapToGrid w:val="0"/>
          <w:color w:val="auto"/>
          <w:spacing w:val="-1"/>
          <w:kern w:val="0"/>
          <w:sz w:val="24"/>
          <w:szCs w:val="24"/>
          <w:highlight w:val="none"/>
          <w:lang w:val="en-US" w:eastAsia="zh-CN" w:bidi="ar"/>
        </w:rPr>
        <w:t>成交</w:t>
      </w:r>
      <w:r>
        <w:rPr>
          <w:rFonts w:hint="default" w:ascii="仿宋_GB2312" w:hAnsi="仿宋_GB2312" w:eastAsia="仿宋_GB2312" w:cs="仿宋_GB2312"/>
          <w:snapToGrid w:val="0"/>
          <w:color w:val="auto"/>
          <w:spacing w:val="-1"/>
          <w:kern w:val="0"/>
          <w:sz w:val="24"/>
          <w:szCs w:val="24"/>
          <w:highlight w:val="none"/>
          <w:lang w:eastAsia="en-US" w:bidi="ar"/>
        </w:rPr>
        <w:t>项目的部分主体、关键性工作分包给他人的，或者分包人再次分包的</w:t>
      </w:r>
      <w:r>
        <w:rPr>
          <w:rFonts w:hint="eastAsia" w:ascii="仿宋_GB2312" w:hAnsi="仿宋_GB2312" w:eastAsia="仿宋_GB2312" w:cs="仿宋_GB2312"/>
          <w:snapToGrid w:val="0"/>
          <w:color w:val="auto"/>
          <w:spacing w:val="-1"/>
          <w:kern w:val="0"/>
          <w:sz w:val="24"/>
          <w:szCs w:val="24"/>
          <w:highlight w:val="none"/>
          <w:lang w:eastAsia="zh-CN" w:bidi="ar"/>
        </w:rPr>
        <w:t>；</w:t>
      </w:r>
    </w:p>
    <w:p w14:paraId="220FBAE6">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default"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snapToGrid w:val="0"/>
          <w:color w:val="auto"/>
          <w:spacing w:val="-1"/>
          <w:kern w:val="0"/>
          <w:sz w:val="24"/>
          <w:szCs w:val="24"/>
          <w:highlight w:val="none"/>
          <w:lang w:val="en-US" w:eastAsia="zh-CN" w:bidi="ar"/>
        </w:rPr>
        <w:t>成交</w:t>
      </w:r>
      <w:r>
        <w:rPr>
          <w:rFonts w:hint="default" w:ascii="仿宋_GB2312" w:hAnsi="仿宋_GB2312" w:eastAsia="仿宋_GB2312" w:cs="仿宋_GB2312"/>
          <w:snapToGrid w:val="0"/>
          <w:color w:val="auto"/>
          <w:spacing w:val="-1"/>
          <w:kern w:val="0"/>
          <w:sz w:val="24"/>
          <w:szCs w:val="24"/>
          <w:highlight w:val="none"/>
          <w:lang w:eastAsia="en-US" w:bidi="ar"/>
        </w:rPr>
        <w:t>人无正当理由不与</w:t>
      </w:r>
      <w:r>
        <w:rPr>
          <w:rFonts w:hint="eastAsia" w:ascii="仿宋_GB2312" w:hAnsi="仿宋_GB2312" w:eastAsia="仿宋_GB2312" w:cs="仿宋_GB2312"/>
          <w:snapToGrid w:val="0"/>
          <w:color w:val="auto"/>
          <w:spacing w:val="-1"/>
          <w:kern w:val="0"/>
          <w:sz w:val="24"/>
          <w:szCs w:val="24"/>
          <w:highlight w:val="none"/>
          <w:lang w:eastAsia="zh-CN" w:bidi="ar"/>
        </w:rPr>
        <w:t>采购人</w:t>
      </w:r>
      <w:r>
        <w:rPr>
          <w:rFonts w:hint="default" w:ascii="仿宋_GB2312" w:hAnsi="仿宋_GB2312" w:eastAsia="仿宋_GB2312" w:cs="仿宋_GB2312"/>
          <w:snapToGrid w:val="0"/>
          <w:color w:val="auto"/>
          <w:spacing w:val="-1"/>
          <w:kern w:val="0"/>
          <w:sz w:val="24"/>
          <w:szCs w:val="24"/>
          <w:highlight w:val="none"/>
          <w:lang w:eastAsia="en-US" w:bidi="ar"/>
        </w:rPr>
        <w:t>订立合同，在签订合同时向</w:t>
      </w:r>
      <w:r>
        <w:rPr>
          <w:rFonts w:hint="eastAsia" w:ascii="仿宋_GB2312" w:hAnsi="仿宋_GB2312" w:eastAsia="仿宋_GB2312" w:cs="仿宋_GB2312"/>
          <w:snapToGrid w:val="0"/>
          <w:color w:val="auto"/>
          <w:spacing w:val="-1"/>
          <w:kern w:val="0"/>
          <w:sz w:val="24"/>
          <w:szCs w:val="24"/>
          <w:highlight w:val="none"/>
          <w:lang w:eastAsia="zh-CN" w:bidi="ar"/>
        </w:rPr>
        <w:t>采购人</w:t>
      </w:r>
      <w:r>
        <w:rPr>
          <w:rFonts w:hint="default" w:ascii="仿宋_GB2312" w:hAnsi="仿宋_GB2312" w:eastAsia="仿宋_GB2312" w:cs="仿宋_GB2312"/>
          <w:snapToGrid w:val="0"/>
          <w:color w:val="auto"/>
          <w:spacing w:val="-1"/>
          <w:kern w:val="0"/>
          <w:sz w:val="24"/>
          <w:szCs w:val="24"/>
          <w:highlight w:val="none"/>
          <w:lang w:eastAsia="en-US" w:bidi="ar"/>
        </w:rPr>
        <w:t>提出附加条件，或者不按照</w:t>
      </w:r>
      <w:r>
        <w:rPr>
          <w:rFonts w:hint="eastAsia" w:ascii="仿宋_GB2312" w:hAnsi="仿宋_GB2312" w:eastAsia="仿宋_GB2312" w:cs="仿宋_GB2312"/>
          <w:snapToGrid w:val="0"/>
          <w:color w:val="auto"/>
          <w:spacing w:val="-1"/>
          <w:kern w:val="0"/>
          <w:sz w:val="24"/>
          <w:szCs w:val="24"/>
          <w:highlight w:val="none"/>
          <w:lang w:val="en-US" w:eastAsia="zh-CN" w:bidi="ar"/>
        </w:rPr>
        <w:t>采购</w:t>
      </w:r>
      <w:r>
        <w:rPr>
          <w:rFonts w:hint="default" w:ascii="仿宋_GB2312" w:hAnsi="仿宋_GB2312" w:eastAsia="仿宋_GB2312" w:cs="仿宋_GB2312"/>
          <w:snapToGrid w:val="0"/>
          <w:color w:val="auto"/>
          <w:spacing w:val="-1"/>
          <w:kern w:val="0"/>
          <w:sz w:val="24"/>
          <w:szCs w:val="24"/>
          <w:highlight w:val="none"/>
          <w:lang w:eastAsia="en-US" w:bidi="ar"/>
        </w:rPr>
        <w:t>文件要求提交履约保证金的</w:t>
      </w:r>
      <w:r>
        <w:rPr>
          <w:rFonts w:hint="default" w:ascii="仿宋_GB2312" w:hAnsi="仿宋_GB2312" w:eastAsia="仿宋_GB2312" w:cs="仿宋_GB2312"/>
          <w:snapToGrid w:val="0"/>
          <w:color w:val="auto"/>
          <w:spacing w:val="-1"/>
          <w:kern w:val="0"/>
          <w:sz w:val="24"/>
          <w:szCs w:val="24"/>
          <w:highlight w:val="none"/>
          <w:lang w:eastAsia="zh-CN" w:bidi="ar"/>
        </w:rPr>
        <w:t>；</w:t>
      </w:r>
    </w:p>
    <w:p w14:paraId="24AE1991">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snapToGrid w:val="0"/>
          <w:color w:val="auto"/>
          <w:spacing w:val="-1"/>
          <w:kern w:val="0"/>
          <w:sz w:val="24"/>
          <w:szCs w:val="24"/>
          <w:highlight w:val="none"/>
          <w:lang w:eastAsia="en-US" w:bidi="ar"/>
        </w:rPr>
        <w:t>拒绝有关部门监督检查或者提供虚假情况的</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w:t>
      </w:r>
    </w:p>
    <w:p w14:paraId="63CE4519">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提供假冒伪劣产品；</w:t>
      </w:r>
    </w:p>
    <w:p w14:paraId="32C70849">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无正当理由擅自变更、中止或者终止合同；</w:t>
      </w:r>
    </w:p>
    <w:p w14:paraId="3B2F4779">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因供应商原因发生较大及以上安全、质量、环保事故（政府主管部门定性）；</w:t>
      </w:r>
    </w:p>
    <w:p w14:paraId="39B92047">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框架协议采购项目在</w:t>
      </w:r>
      <w:r>
        <w:rPr>
          <w:rFonts w:hint="eastAsia" w:ascii="仿宋_GB2312" w:hAnsi="仿宋_GB2312" w:eastAsia="仿宋_GB2312" w:cs="仿宋_GB2312"/>
          <w:b w:val="0"/>
          <w:bCs w:val="0"/>
          <w:snapToGrid w:val="0"/>
          <w:color w:val="auto"/>
          <w:spacing w:val="-1"/>
          <w:kern w:val="0"/>
          <w:sz w:val="24"/>
          <w:szCs w:val="24"/>
          <w:highlight w:val="none"/>
          <w:lang w:eastAsia="en-US" w:bidi="ar"/>
        </w:rPr>
        <w:t>框架协议期内拒绝接受</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采购订单</w:t>
      </w:r>
      <w:r>
        <w:rPr>
          <w:rFonts w:hint="eastAsia" w:ascii="仿宋_GB2312" w:hAnsi="仿宋_GB2312" w:eastAsia="仿宋_GB2312" w:cs="仿宋_GB2312"/>
          <w:b w:val="0"/>
          <w:bCs w:val="0"/>
          <w:snapToGrid w:val="0"/>
          <w:color w:val="auto"/>
          <w:spacing w:val="-1"/>
          <w:kern w:val="0"/>
          <w:sz w:val="24"/>
          <w:szCs w:val="24"/>
          <w:highlight w:val="none"/>
          <w:lang w:eastAsia="en-US" w:bidi="ar"/>
        </w:rPr>
        <w:t>数量达3个的</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w:t>
      </w:r>
    </w:p>
    <w:p w14:paraId="2AD25BF4">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泄露海口市产业发展投资集团有限公司</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或子公司的商业秘密，产生不良影响的；</w:t>
      </w:r>
    </w:p>
    <w:p w14:paraId="02B89DFE">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eastAsia="en-US" w:bidi="ar"/>
        </w:rPr>
      </w:pPr>
      <w:r>
        <w:rPr>
          <w:rFonts w:hint="eastAsia" w:ascii="仿宋_GB2312" w:hAnsi="仿宋_GB2312" w:eastAsia="仿宋_GB2312" w:cs="仿宋_GB2312"/>
          <w:b w:val="0"/>
          <w:bCs w:val="0"/>
          <w:snapToGrid w:val="0"/>
          <w:color w:val="auto"/>
          <w:spacing w:val="-1"/>
          <w:kern w:val="0"/>
          <w:sz w:val="24"/>
          <w:szCs w:val="24"/>
          <w:highlight w:val="none"/>
          <w:lang w:eastAsia="en-US" w:bidi="ar"/>
        </w:rPr>
        <w:t>因供应商自身或其分包单位原因在项目</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实施</w:t>
      </w:r>
      <w:r>
        <w:rPr>
          <w:rFonts w:hint="eastAsia" w:ascii="仿宋_GB2312" w:hAnsi="仿宋_GB2312" w:eastAsia="仿宋_GB2312" w:cs="仿宋_GB2312"/>
          <w:b w:val="0"/>
          <w:bCs w:val="0"/>
          <w:snapToGrid w:val="0"/>
          <w:color w:val="auto"/>
          <w:spacing w:val="-1"/>
          <w:kern w:val="0"/>
          <w:sz w:val="24"/>
          <w:szCs w:val="24"/>
          <w:highlight w:val="none"/>
          <w:lang w:eastAsia="en-US" w:bidi="ar"/>
        </w:rPr>
        <w:t>过程中</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产生上访、</w:t>
      </w:r>
      <w:r>
        <w:rPr>
          <w:rFonts w:hint="eastAsia" w:ascii="仿宋_GB2312" w:hAnsi="仿宋_GB2312" w:eastAsia="仿宋_GB2312" w:cs="仿宋_GB2312"/>
          <w:b w:val="0"/>
          <w:bCs w:val="0"/>
          <w:snapToGrid w:val="0"/>
          <w:color w:val="auto"/>
          <w:spacing w:val="-1"/>
          <w:kern w:val="0"/>
          <w:sz w:val="24"/>
          <w:szCs w:val="24"/>
          <w:highlight w:val="none"/>
          <w:lang w:eastAsia="en-US" w:bidi="ar"/>
        </w:rPr>
        <w:t>围堵</w:t>
      </w:r>
      <w:r>
        <w:rPr>
          <w:rFonts w:hint="eastAsia" w:ascii="仿宋_GB2312" w:hAnsi="仿宋_GB2312" w:eastAsia="仿宋_GB2312" w:cs="仿宋_GB2312"/>
          <w:b w:val="0"/>
          <w:bCs w:val="0"/>
          <w:snapToGrid w:val="0"/>
          <w:color w:val="auto"/>
          <w:spacing w:val="-1"/>
          <w:kern w:val="0"/>
          <w:sz w:val="24"/>
          <w:szCs w:val="24"/>
          <w:highlight w:val="none"/>
          <w:lang w:eastAsia="zh-CN" w:bidi="ar"/>
        </w:rPr>
        <w:t>、</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重大舆情</w:t>
      </w:r>
      <w:r>
        <w:rPr>
          <w:rFonts w:hint="eastAsia" w:ascii="仿宋_GB2312" w:hAnsi="仿宋_GB2312" w:eastAsia="仿宋_GB2312" w:cs="仿宋_GB2312"/>
          <w:b w:val="0"/>
          <w:bCs w:val="0"/>
          <w:snapToGrid w:val="0"/>
          <w:color w:val="auto"/>
          <w:spacing w:val="-1"/>
          <w:kern w:val="0"/>
          <w:sz w:val="24"/>
          <w:szCs w:val="24"/>
          <w:highlight w:val="none"/>
          <w:lang w:eastAsia="en-US" w:bidi="ar"/>
        </w:rPr>
        <w:t>等恶性事件，影响</w:t>
      </w:r>
      <w:r>
        <w:rPr>
          <w:rFonts w:hint="default" w:ascii="仿宋_GB2312" w:hAnsi="仿宋_GB2312" w:eastAsia="仿宋_GB2312" w:cs="仿宋_GB2312"/>
          <w:b w:val="0"/>
          <w:bCs w:val="0"/>
          <w:snapToGrid w:val="0"/>
          <w:color w:val="auto"/>
          <w:spacing w:val="-1"/>
          <w:kern w:val="0"/>
          <w:sz w:val="24"/>
          <w:szCs w:val="24"/>
          <w:highlight w:val="none"/>
          <w:lang w:val="en-US" w:eastAsia="zh-CN" w:bidi="ar"/>
        </w:rPr>
        <w:t>海口市产业发展投资集团有限公司</w:t>
      </w: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或子公司</w:t>
      </w:r>
      <w:r>
        <w:rPr>
          <w:rFonts w:hint="eastAsia" w:ascii="仿宋_GB2312" w:hAnsi="仿宋_GB2312" w:eastAsia="仿宋_GB2312" w:cs="仿宋_GB2312"/>
          <w:b w:val="0"/>
          <w:bCs w:val="0"/>
          <w:snapToGrid w:val="0"/>
          <w:color w:val="auto"/>
          <w:spacing w:val="-1"/>
          <w:kern w:val="0"/>
          <w:sz w:val="24"/>
          <w:szCs w:val="24"/>
          <w:highlight w:val="none"/>
          <w:lang w:eastAsia="en-US" w:bidi="ar"/>
        </w:rPr>
        <w:t>声誉的；</w:t>
      </w:r>
    </w:p>
    <w:p w14:paraId="5C4F9FA0">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val="en-US" w:eastAsia="zh-CN"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擅自更换核心团队/主设备品牌，降低配置，构成实质性违约的；</w:t>
      </w:r>
    </w:p>
    <w:p w14:paraId="24156123">
      <w:pPr>
        <w:keepNext w:val="0"/>
        <w:keepLines w:val="0"/>
        <w:pageBreakBefore w:val="0"/>
        <w:numPr>
          <w:ilvl w:val="0"/>
          <w:numId w:val="1"/>
        </w:numPr>
        <w:kinsoku/>
        <w:wordWrap/>
        <w:overflowPunct/>
        <w:topLinePunct w:val="0"/>
        <w:autoSpaceDE/>
        <w:autoSpaceDN/>
        <w:bidi w:val="0"/>
        <w:adjustRightInd w:val="0"/>
        <w:snapToGrid w:val="0"/>
        <w:spacing w:line="560" w:lineRule="exact"/>
        <w:ind w:left="0" w:leftChars="0" w:firstLine="476" w:firstLineChars="200"/>
        <w:jc w:val="both"/>
        <w:rPr>
          <w:rFonts w:hint="eastAsia" w:ascii="仿宋_GB2312" w:hAnsi="仿宋_GB2312" w:eastAsia="仿宋_GB2312" w:cs="仿宋_GB2312"/>
          <w:b w:val="0"/>
          <w:bCs w:val="0"/>
          <w:snapToGrid w:val="0"/>
          <w:color w:val="auto"/>
          <w:spacing w:val="-1"/>
          <w:kern w:val="0"/>
          <w:sz w:val="24"/>
          <w:szCs w:val="24"/>
          <w:highlight w:val="none"/>
          <w:lang w:eastAsia="en-US" w:bidi="ar"/>
        </w:rPr>
      </w:pPr>
      <w:r>
        <w:rPr>
          <w:rFonts w:hint="eastAsia" w:ascii="仿宋_GB2312" w:hAnsi="仿宋_GB2312" w:eastAsia="仿宋_GB2312" w:cs="仿宋_GB2312"/>
          <w:b w:val="0"/>
          <w:bCs w:val="0"/>
          <w:snapToGrid w:val="0"/>
          <w:color w:val="auto"/>
          <w:spacing w:val="-1"/>
          <w:kern w:val="0"/>
          <w:sz w:val="24"/>
          <w:szCs w:val="24"/>
          <w:highlight w:val="none"/>
          <w:lang w:val="en-US" w:eastAsia="zh-CN" w:bidi="ar"/>
        </w:rPr>
        <w:t>报价失误、漏项导致合同无法履行，又不接受调价或终止合同的；</w:t>
      </w:r>
    </w:p>
    <w:p w14:paraId="6988C9A9">
      <w:pPr>
        <w:numPr>
          <w:ilvl w:val="0"/>
          <w:numId w:val="1"/>
        </w:numPr>
        <w:autoSpaceDE/>
        <w:autoSpaceDN/>
        <w:adjustRightInd w:val="0"/>
        <w:snapToGrid w:val="0"/>
        <w:spacing w:line="560" w:lineRule="exact"/>
        <w:ind w:firstLine="476"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val="0"/>
          <w:color w:val="auto"/>
          <w:spacing w:val="-1"/>
          <w:kern w:val="0"/>
          <w:sz w:val="24"/>
          <w:szCs w:val="24"/>
          <w:highlight w:val="none"/>
          <w:lang w:eastAsia="en-US" w:bidi="ar"/>
        </w:rPr>
        <w:t>其他违反国家法律、法规行为的</w:t>
      </w:r>
      <w:r>
        <w:rPr>
          <w:rFonts w:hint="eastAsia" w:ascii="仿宋_GB2312" w:hAnsi="仿宋_GB2312" w:eastAsia="仿宋_GB2312" w:cs="仿宋_GB2312"/>
          <w:b w:val="0"/>
          <w:bCs w:val="0"/>
          <w:snapToGrid w:val="0"/>
          <w:color w:val="auto"/>
          <w:spacing w:val="-1"/>
          <w:kern w:val="0"/>
          <w:sz w:val="24"/>
          <w:szCs w:val="24"/>
          <w:highlight w:val="none"/>
          <w:lang w:eastAsia="zh-CN" w:bidi="ar"/>
        </w:rPr>
        <w:t>。</w:t>
      </w:r>
    </w:p>
    <w:p w14:paraId="583D7C10">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jc w:val="both"/>
        <w:rPr>
          <w:rFonts w:hint="eastAsia" w:ascii="仿宋_GB2312" w:hAnsi="仿宋_GB2312" w:eastAsia="仿宋_GB2312" w:cs="仿宋_GB2312"/>
          <w:b w:val="0"/>
          <w:bCs w:val="0"/>
          <w:snapToGrid/>
          <w:color w:val="auto"/>
          <w:spacing w:val="0"/>
          <w:kern w:val="2"/>
          <w:sz w:val="24"/>
          <w:szCs w:val="24"/>
          <w:highlight w:val="none"/>
          <w:lang w:val="en-US" w:eastAsia="zh-CN" w:bidi="ar-SA"/>
        </w:rPr>
      </w:pPr>
      <w:r>
        <w:rPr>
          <w:rFonts w:hint="default" w:ascii="仿宋_GB2312" w:hAnsi="仿宋_GB2312" w:eastAsia="仿宋_GB2312" w:cs="仿宋_GB2312"/>
          <w:b w:val="0"/>
          <w:bCs w:val="0"/>
          <w:snapToGrid/>
          <w:color w:val="auto"/>
          <w:spacing w:val="0"/>
          <w:kern w:val="2"/>
          <w:sz w:val="24"/>
          <w:szCs w:val="24"/>
          <w:highlight w:val="none"/>
          <w:lang w:val="en-US" w:eastAsia="zh-CN" w:bidi="ar-SA"/>
        </w:rPr>
        <w:t>二、我</w:t>
      </w:r>
      <w:r>
        <w:rPr>
          <w:rFonts w:hint="eastAsia" w:hAnsi="仿宋_GB2312" w:cs="仿宋_GB2312"/>
          <w:b w:val="0"/>
          <w:bCs w:val="0"/>
          <w:snapToGrid/>
          <w:color w:val="auto"/>
          <w:spacing w:val="0"/>
          <w:kern w:val="2"/>
          <w:sz w:val="24"/>
          <w:szCs w:val="24"/>
          <w:highlight w:val="none"/>
          <w:lang w:val="en-US" w:eastAsia="zh-CN" w:bidi="ar-SA"/>
        </w:rPr>
        <w:t>司</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已</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充分知晓并</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同意</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：若</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贵单位</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发现我</w:t>
      </w:r>
      <w:r>
        <w:rPr>
          <w:rFonts w:hint="eastAsia" w:hAnsi="仿宋_GB2312" w:cs="仿宋_GB2312"/>
          <w:b w:val="0"/>
          <w:bCs w:val="0"/>
          <w:snapToGrid/>
          <w:color w:val="auto"/>
          <w:spacing w:val="0"/>
          <w:kern w:val="2"/>
          <w:sz w:val="24"/>
          <w:szCs w:val="24"/>
          <w:highlight w:val="none"/>
          <w:lang w:val="en-US" w:eastAsia="zh-CN" w:bidi="ar-SA"/>
        </w:rPr>
        <w:t>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存在</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上述情形之一</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的，无论</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本项目</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进展至何种阶段（包括但不限于</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响应</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文件递交、评审、</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结果</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公示、合同签订等），</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贵单位均有权将我</w:t>
      </w:r>
      <w:r>
        <w:rPr>
          <w:rFonts w:hint="eastAsia" w:hAnsi="仿宋_GB2312" w:cs="仿宋_GB2312"/>
          <w:b w:val="0"/>
          <w:bCs w:val="0"/>
          <w:snapToGrid/>
          <w:color w:val="auto"/>
          <w:spacing w:val="0"/>
          <w:kern w:val="2"/>
          <w:sz w:val="24"/>
          <w:szCs w:val="24"/>
          <w:highlight w:val="none"/>
          <w:lang w:val="en-US" w:eastAsia="zh-CN" w:bidi="ar-SA"/>
        </w:rPr>
        <w:t>司</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纳入贵单位不良信用主体名单库，并</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 xml:space="preserve">按以下方式处理： </w:t>
      </w:r>
    </w:p>
    <w:p w14:paraId="63D7ED6D">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default" w:ascii="仿宋_GB2312" w:hAnsi="仿宋_GB2312" w:eastAsia="仿宋_GB2312" w:cs="仿宋_GB2312"/>
          <w:b w:val="0"/>
          <w:bCs w:val="0"/>
          <w:snapToGrid/>
          <w:color w:val="auto"/>
          <w:spacing w:val="0"/>
          <w:kern w:val="2"/>
          <w:sz w:val="24"/>
          <w:szCs w:val="24"/>
          <w:highlight w:val="none"/>
          <w:lang w:val="en-US" w:eastAsia="zh-CN" w:bidi="ar-SA"/>
        </w:rPr>
        <w:t>（一）已提交响应文件的供应商尚未完成评审的，作否决响应资格处理；</w:t>
      </w:r>
    </w:p>
    <w:p w14:paraId="30447623">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highlight w:val="none"/>
          <w:lang w:val="en-US" w:eastAsia="zh-CN" w:bidi="ar-SA"/>
        </w:rPr>
        <w:t>（二）</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尚未发出成交</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（入围）</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通知书的，取消成交</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（入围）</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资格；</w:t>
      </w:r>
    </w:p>
    <w:p w14:paraId="2A592C23">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highlight w:val="none"/>
          <w:lang w:val="en-US" w:eastAsia="zh-CN" w:bidi="ar-SA"/>
        </w:rPr>
        <w:t>（三）</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已签订框架协议的，不</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授予新的订单</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w:t>
      </w:r>
    </w:p>
    <w:p w14:paraId="36013B43">
      <w:pPr>
        <w:autoSpaceDE/>
        <w:autoSpaceDN/>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highlight w:val="none"/>
          <w:lang w:val="en-US" w:eastAsia="zh-CN" w:bidi="ar-SA"/>
        </w:rPr>
        <w:t>同时</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，我</w:t>
      </w:r>
      <w:r>
        <w:rPr>
          <w:rFonts w:hint="eastAsia" w:hAnsi="仿宋_GB2312" w:cs="仿宋_GB2312"/>
          <w:b w:val="0"/>
          <w:bCs w:val="0"/>
          <w:snapToGrid/>
          <w:color w:val="auto"/>
          <w:spacing w:val="0"/>
          <w:kern w:val="2"/>
          <w:sz w:val="24"/>
          <w:szCs w:val="24"/>
          <w:highlight w:val="none"/>
          <w:lang w:val="en-US" w:eastAsia="zh-CN" w:bidi="ar-SA"/>
        </w:rPr>
        <w:t>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将承担由此给</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采购</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人、</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采购</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代理机构造成的全部损失（包括但不限于重新</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采购</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的费用、工期延误损失等）</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w:t>
      </w:r>
    </w:p>
    <w:p w14:paraId="03955CD6">
      <w:pPr>
        <w:autoSpaceDE/>
        <w:autoSpaceDN/>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highlight w:val="none"/>
          <w:lang w:val="en-US" w:eastAsia="zh-CN" w:bidi="ar-SA"/>
        </w:rPr>
        <w:t>三</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、我</w:t>
      </w:r>
      <w:r>
        <w:rPr>
          <w:rFonts w:hint="eastAsia" w:hAnsi="仿宋_GB2312" w:cs="仿宋_GB2312"/>
          <w:b w:val="0"/>
          <w:bCs w:val="0"/>
          <w:snapToGrid/>
          <w:color w:val="auto"/>
          <w:spacing w:val="0"/>
          <w:kern w:val="2"/>
          <w:sz w:val="24"/>
          <w:szCs w:val="24"/>
          <w:highlight w:val="none"/>
          <w:lang w:val="en-US" w:eastAsia="zh-CN" w:bidi="ar-SA"/>
        </w:rPr>
        <w:t>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保证本承诺函内容真实、准确、完整，不存在</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任何</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虚假陈述、隐瞒事实或误导性表述等情形。若本承诺函内容与事实不符，我</w:t>
      </w:r>
      <w:r>
        <w:rPr>
          <w:rFonts w:hint="eastAsia" w:hAnsi="仿宋_GB2312" w:cs="仿宋_GB2312"/>
          <w:b w:val="0"/>
          <w:bCs w:val="0"/>
          <w:snapToGrid/>
          <w:color w:val="auto"/>
          <w:spacing w:val="0"/>
          <w:kern w:val="2"/>
          <w:sz w:val="24"/>
          <w:szCs w:val="24"/>
          <w:highlight w:val="none"/>
          <w:lang w:val="en-US" w:eastAsia="zh-CN" w:bidi="ar-SA"/>
        </w:rPr>
        <w:t>司</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自愿接受相关行政监督部门的处罚，并承担</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由此产生的全部</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法律责任（包括但不限于对</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采购</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人的违约赔偿责任、相应的行政处罚责任等）。</w:t>
      </w:r>
    </w:p>
    <w:p w14:paraId="23AC6778">
      <w:pPr>
        <w:autoSpaceDE/>
        <w:autoSpaceDN/>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仿宋_GB2312" w:hAnsi="仿宋_GB2312" w:eastAsia="仿宋_GB2312" w:cs="仿宋_GB2312"/>
          <w:b w:val="0"/>
          <w:bCs w:val="0"/>
          <w:snapToGrid/>
          <w:color w:val="auto"/>
          <w:spacing w:val="0"/>
          <w:kern w:val="2"/>
          <w:sz w:val="24"/>
          <w:szCs w:val="24"/>
          <w:highlight w:val="none"/>
          <w:lang w:val="en-US" w:eastAsia="zh-CN" w:bidi="ar-SA"/>
        </w:rPr>
        <w:t>四</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、本承诺函自</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我</w:t>
      </w:r>
      <w:r>
        <w:rPr>
          <w:rFonts w:hint="eastAsia" w:hAnsi="仿宋_GB2312" w:cs="仿宋_GB2312"/>
          <w:b w:val="0"/>
          <w:bCs w:val="0"/>
          <w:snapToGrid/>
          <w:color w:val="auto"/>
          <w:spacing w:val="0"/>
          <w:kern w:val="2"/>
          <w:sz w:val="24"/>
          <w:szCs w:val="24"/>
          <w:highlight w:val="none"/>
          <w:lang w:val="en-US" w:eastAsia="zh-CN" w:bidi="ar-SA"/>
        </w:rPr>
        <w:t>司负责人</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或授权代表人签字并加盖公章之日起生效</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，对我</w:t>
      </w:r>
      <w:r>
        <w:rPr>
          <w:rFonts w:hint="eastAsia" w:hAnsi="仿宋_GB2312" w:cs="仿宋_GB2312"/>
          <w:b w:val="0"/>
          <w:bCs w:val="0"/>
          <w:snapToGrid/>
          <w:color w:val="auto"/>
          <w:spacing w:val="0"/>
          <w:kern w:val="2"/>
          <w:sz w:val="24"/>
          <w:szCs w:val="24"/>
          <w:highlight w:val="none"/>
          <w:lang w:val="en-US" w:eastAsia="zh-CN" w:bidi="ar-SA"/>
        </w:rPr>
        <w:t>司</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具有法律约束力</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w:t>
      </w:r>
    </w:p>
    <w:p w14:paraId="0348878A">
      <w:pPr>
        <w:autoSpaceDE/>
        <w:autoSpaceDN/>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default" w:ascii="仿宋_GB2312" w:hAnsi="仿宋_GB2312" w:eastAsia="仿宋_GB2312" w:cs="仿宋_GB2312"/>
          <w:b w:val="0"/>
          <w:bCs w:val="0"/>
          <w:snapToGrid/>
          <w:color w:val="auto"/>
          <w:spacing w:val="0"/>
          <w:kern w:val="2"/>
          <w:sz w:val="24"/>
          <w:szCs w:val="24"/>
          <w:highlight w:val="none"/>
          <w:lang w:val="en-US" w:eastAsia="zh-CN" w:bidi="ar-SA"/>
        </w:rPr>
        <w:t>特此承诺！​</w:t>
      </w:r>
    </w:p>
    <w:p w14:paraId="2C4200DE">
      <w:pPr>
        <w:autoSpaceDE w:val="0"/>
        <w:autoSpaceDN w:val="0"/>
        <w:spacing w:line="560" w:lineRule="exact"/>
        <w:ind w:firstLine="480" w:firstLineChars="200"/>
        <w:jc w:val="both"/>
        <w:rPr>
          <w:rFonts w:hint="default" w:ascii="仿宋_GB2312" w:hAnsi="仿宋_GB2312" w:eastAsia="仿宋_GB2312" w:cs="仿宋_GB2312"/>
          <w:b w:val="0"/>
          <w:bCs w:val="0"/>
          <w:snapToGrid/>
          <w:color w:val="auto"/>
          <w:spacing w:val="0"/>
          <w:kern w:val="2"/>
          <w:sz w:val="24"/>
          <w:szCs w:val="24"/>
          <w:highlight w:val="none"/>
          <w:lang w:val="en-US" w:eastAsia="zh-CN" w:bidi="ar-SA"/>
        </w:rPr>
      </w:pPr>
    </w:p>
    <w:p w14:paraId="3A80D90B">
      <w:pPr>
        <w:ind w:firstLine="440"/>
        <w:jc w:val="right"/>
        <w:outlineLvl w:val="0"/>
        <w:rPr>
          <w:rFonts w:hint="eastAsia" w:ascii="宋体" w:hAnsi="宋体" w:cs="宋体"/>
          <w:sz w:val="22"/>
          <w:highlight w:val="none"/>
        </w:rPr>
      </w:pPr>
      <w:r>
        <w:rPr>
          <w:rFonts w:hint="eastAsia" w:ascii="宋体" w:hAnsi="宋体" w:cs="宋体"/>
          <w:sz w:val="22"/>
          <w:highlight w:val="none"/>
        </w:rPr>
        <w:t>供应商：</w:t>
      </w:r>
      <w:r>
        <w:rPr>
          <w:rFonts w:hint="eastAsia" w:ascii="宋体" w:hAnsi="宋体" w:cs="宋体"/>
          <w:sz w:val="22"/>
          <w:highlight w:val="none"/>
          <w:u w:val="single"/>
        </w:rPr>
        <w:t xml:space="preserve">                </w:t>
      </w:r>
      <w:r>
        <w:rPr>
          <w:rFonts w:hint="eastAsia" w:ascii="宋体" w:hAnsi="宋体" w:cs="宋体"/>
          <w:sz w:val="22"/>
          <w:highlight w:val="none"/>
        </w:rPr>
        <w:t>（盖章）</w:t>
      </w:r>
    </w:p>
    <w:p w14:paraId="75F74901">
      <w:pPr>
        <w:autoSpaceDE/>
        <w:autoSpaceDN/>
        <w:spacing w:line="240" w:lineRule="auto"/>
        <w:ind w:firstLine="440" w:firstLineChars="0"/>
        <w:jc w:val="right"/>
        <w:outlineLvl w:val="0"/>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ascii="宋体" w:hAnsi="宋体" w:cs="宋体"/>
          <w:sz w:val="22"/>
          <w:highlight w:val="none"/>
          <w:lang w:val="en-US" w:eastAsia="zh-CN"/>
        </w:rPr>
        <w:t xml:space="preserve">  负责人</w:t>
      </w:r>
      <w:r>
        <w:rPr>
          <w:rFonts w:hint="eastAsia" w:ascii="宋体" w:hAnsi="宋体" w:cs="宋体"/>
          <w:sz w:val="22"/>
          <w:highlight w:val="none"/>
        </w:rPr>
        <w:t>或委托代理人：</w:t>
      </w:r>
      <w:r>
        <w:rPr>
          <w:rFonts w:hint="eastAsia" w:ascii="宋体" w:hAnsi="宋体" w:cs="宋体"/>
          <w:sz w:val="22"/>
          <w:highlight w:val="none"/>
          <w:u w:val="single"/>
        </w:rPr>
        <w:t xml:space="preserve">                </w:t>
      </w:r>
      <w:r>
        <w:rPr>
          <w:rFonts w:hint="eastAsia" w:ascii="宋体" w:hAnsi="宋体" w:cs="宋体"/>
          <w:sz w:val="22"/>
          <w:highlight w:val="none"/>
        </w:rPr>
        <w:t>（签字）</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 xml:space="preserve"> </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w:t>
      </w:r>
    </w:p>
    <w:p w14:paraId="705C5A6B">
      <w:pPr>
        <w:ind w:firstLine="0" w:firstLineChars="0"/>
        <w:jc w:val="center"/>
        <w:rPr>
          <w:rFonts w:hint="default" w:ascii="仿宋_GB2312" w:hAnsi="仿宋_GB2312" w:eastAsia="仿宋_GB2312" w:cs="仿宋_GB2312"/>
          <w:b w:val="0"/>
          <w:bCs w:val="0"/>
          <w:snapToGrid/>
          <w:color w:val="auto"/>
          <w:spacing w:val="0"/>
          <w:kern w:val="2"/>
          <w:sz w:val="24"/>
          <w:szCs w:val="24"/>
          <w:highlight w:val="none"/>
          <w:lang w:val="en-US" w:eastAsia="zh-CN" w:bidi="ar-SA"/>
        </w:rPr>
      </w:pPr>
      <w:r>
        <w:rPr>
          <w:rFonts w:hint="eastAsia" w:hAnsi="仿宋_GB2312" w:cs="仿宋_GB2312"/>
          <w:b w:val="0"/>
          <w:bCs w:val="0"/>
          <w:snapToGrid/>
          <w:color w:val="auto"/>
          <w:spacing w:val="0"/>
          <w:kern w:val="2"/>
          <w:sz w:val="24"/>
          <w:szCs w:val="24"/>
          <w:highlight w:val="none"/>
          <w:lang w:val="en-US" w:eastAsia="zh-CN" w:bidi="ar-SA"/>
        </w:rPr>
        <w:t xml:space="preserve">                           </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年</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 xml:space="preserve"> </w:t>
      </w:r>
      <w:r>
        <w:rPr>
          <w:rFonts w:hint="eastAsia" w:hAnsi="仿宋_GB2312" w:cs="仿宋_GB2312"/>
          <w:b w:val="0"/>
          <w:bCs w:val="0"/>
          <w:snapToGrid/>
          <w:color w:val="auto"/>
          <w:spacing w:val="0"/>
          <w:kern w:val="2"/>
          <w:sz w:val="24"/>
          <w:szCs w:val="24"/>
          <w:highlight w:val="none"/>
          <w:lang w:val="en-US" w:eastAsia="zh-CN" w:bidi="ar-SA"/>
        </w:rPr>
        <w:t xml:space="preserve">  </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 xml:space="preserve">  </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月</w:t>
      </w:r>
      <w:r>
        <w:rPr>
          <w:rFonts w:hint="eastAsia" w:ascii="仿宋_GB2312" w:hAnsi="仿宋_GB2312" w:eastAsia="仿宋_GB2312" w:cs="仿宋_GB2312"/>
          <w:b w:val="0"/>
          <w:bCs w:val="0"/>
          <w:snapToGrid/>
          <w:color w:val="auto"/>
          <w:spacing w:val="0"/>
          <w:kern w:val="2"/>
          <w:sz w:val="24"/>
          <w:szCs w:val="24"/>
          <w:highlight w:val="none"/>
          <w:lang w:val="en-US" w:eastAsia="zh-CN" w:bidi="ar-SA"/>
        </w:rPr>
        <w:t xml:space="preserve">  </w:t>
      </w:r>
      <w:r>
        <w:rPr>
          <w:rFonts w:hint="eastAsia" w:hAnsi="仿宋_GB2312" w:cs="仿宋_GB2312"/>
          <w:b w:val="0"/>
          <w:bCs w:val="0"/>
          <w:snapToGrid/>
          <w:color w:val="auto"/>
          <w:spacing w:val="0"/>
          <w:kern w:val="2"/>
          <w:sz w:val="24"/>
          <w:szCs w:val="24"/>
          <w:highlight w:val="none"/>
          <w:lang w:val="en-US" w:eastAsia="zh-CN" w:bidi="ar-SA"/>
        </w:rPr>
        <w:t xml:space="preserve">  </w:t>
      </w:r>
      <w:r>
        <w:rPr>
          <w:rFonts w:hint="default" w:ascii="仿宋_GB2312" w:hAnsi="仿宋_GB2312" w:eastAsia="仿宋_GB2312" w:cs="仿宋_GB2312"/>
          <w:b w:val="0"/>
          <w:bCs w:val="0"/>
          <w:snapToGrid/>
          <w:color w:val="auto"/>
          <w:spacing w:val="0"/>
          <w:kern w:val="2"/>
          <w:sz w:val="24"/>
          <w:szCs w:val="24"/>
          <w:highlight w:val="none"/>
          <w:lang w:val="en-US" w:eastAsia="zh-CN" w:bidi="ar-SA"/>
        </w:rPr>
        <w:t>日</w:t>
      </w:r>
    </w:p>
    <w:p w14:paraId="22FDCD93">
      <w:pPr>
        <w:pStyle w:val="5"/>
        <w:keepNext w:val="0"/>
        <w:keepLines w:val="0"/>
        <w:pageBreakBefore w:val="0"/>
        <w:widowControl w:val="0"/>
        <w:kinsoku/>
        <w:wordWrap/>
        <w:overflowPunct/>
        <w:topLinePunct w:val="0"/>
        <w:bidi w:val="0"/>
        <w:spacing w:line="480" w:lineRule="auto"/>
        <w:ind w:left="0" w:firstLine="560" w:firstLineChars="200"/>
        <w:jc w:val="both"/>
        <w:textAlignment w:val="auto"/>
        <w:rPr>
          <w:rFonts w:hint="default" w:ascii="Times New Roman" w:hAnsi="Times New Roman" w:cs="Times New Roman"/>
          <w:lang w:val="en-US" w:eastAsia="zh-CN"/>
        </w:rPr>
      </w:pPr>
    </w:p>
    <w:sectPr>
      <w:pgSz w:w="11906" w:h="16838"/>
      <w:pgMar w:top="1440" w:right="1417" w:bottom="1440"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2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大标宋_GBK">
    <w:altName w:val="宋体"/>
    <w:panose1 w:val="03000509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F23A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126E">
                          <w:pPr>
                            <w:pStyle w:val="6"/>
                            <w:rPr>
                              <w:rFonts w:hint="default" w:ascii="Times New Roman" w:hAnsi="Times New Roman" w:cs="Times New Roman" w:eastAsiaTheme="minorEastAsia"/>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2</w:t>
                          </w:r>
                          <w:r>
                            <w:rPr>
                              <w:rFonts w:hint="default" w:ascii="Times New Roman" w:hAnsi="Times New Roman" w:cs="Times New Roman"/>
                              <w:sz w:val="24"/>
                              <w:szCs w:val="24"/>
                              <w:lang w:eastAsia="zh-CN"/>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5F126E">
                    <w:pPr>
                      <w:pStyle w:val="6"/>
                      <w:rPr>
                        <w:rFonts w:hint="default" w:ascii="Times New Roman" w:hAnsi="Times New Roman" w:cs="Times New Roman" w:eastAsiaTheme="minorEastAsia"/>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2</w:t>
                    </w:r>
                    <w:r>
                      <w:rPr>
                        <w:rFonts w:hint="default" w:ascii="Times New Roman" w:hAnsi="Times New Roman" w:cs="Times New Roman"/>
                        <w:sz w:val="24"/>
                        <w:szCs w:val="24"/>
                        <w:lang w:eastAsia="zh-CN"/>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A01CDF"/>
    <w:multiLevelType w:val="singleLevel"/>
    <w:tmpl w:val="70A01CDF"/>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jOWM3YTRjZWU2NzJhODk3OTUwYjcxYzczMzQ1YmEifQ=="/>
  </w:docVars>
  <w:rsids>
    <w:rsidRoot w:val="023623B7"/>
    <w:rsid w:val="00A42F21"/>
    <w:rsid w:val="023623B7"/>
    <w:rsid w:val="03F543D4"/>
    <w:rsid w:val="06601BBC"/>
    <w:rsid w:val="0938295F"/>
    <w:rsid w:val="0D8C4B6B"/>
    <w:rsid w:val="13692227"/>
    <w:rsid w:val="194F5913"/>
    <w:rsid w:val="1A920218"/>
    <w:rsid w:val="1C9A5B80"/>
    <w:rsid w:val="2178018D"/>
    <w:rsid w:val="29837493"/>
    <w:rsid w:val="2CE536C9"/>
    <w:rsid w:val="2CF2040A"/>
    <w:rsid w:val="2E372137"/>
    <w:rsid w:val="34477CB4"/>
    <w:rsid w:val="3B775CB0"/>
    <w:rsid w:val="3D67349B"/>
    <w:rsid w:val="3E435D80"/>
    <w:rsid w:val="3EB14288"/>
    <w:rsid w:val="3EC05EAD"/>
    <w:rsid w:val="3FE91433"/>
    <w:rsid w:val="443D58AA"/>
    <w:rsid w:val="454925FC"/>
    <w:rsid w:val="476C7F94"/>
    <w:rsid w:val="47DC187E"/>
    <w:rsid w:val="49DB2481"/>
    <w:rsid w:val="4F513A55"/>
    <w:rsid w:val="5A5B2AD6"/>
    <w:rsid w:val="697D0C9E"/>
    <w:rsid w:val="6C0849DF"/>
    <w:rsid w:val="6D704FA7"/>
    <w:rsid w:val="6DD315AE"/>
    <w:rsid w:val="6E755ABD"/>
    <w:rsid w:val="70C15D8C"/>
    <w:rsid w:val="73EC0D75"/>
    <w:rsid w:val="75F51F96"/>
    <w:rsid w:val="77FF8AFD"/>
    <w:rsid w:val="7BF97CFA"/>
    <w:rsid w:val="7DFF1713"/>
    <w:rsid w:val="7EB10ADA"/>
    <w:rsid w:val="7F99410E"/>
    <w:rsid w:val="AFEFD5C5"/>
    <w:rsid w:val="BD7F5746"/>
    <w:rsid w:val="DD3DEABC"/>
    <w:rsid w:val="FAF752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annotation text"/>
    <w:basedOn w:val="1"/>
    <w:qFormat/>
    <w:uiPriority w:val="0"/>
    <w:pPr>
      <w:jc w:val="left"/>
    </w:pPr>
  </w:style>
  <w:style w:type="paragraph" w:styleId="5">
    <w:name w:val="Body Text"/>
    <w:basedOn w:val="1"/>
    <w:qFormat/>
    <w:uiPriority w:val="1"/>
    <w:rPr>
      <w:rFonts w:ascii="仿宋_GB2312" w:hAnsi="仿宋_GB2312" w:eastAsia="仿宋_GB2312" w:cs="仿宋_GB2312"/>
      <w:sz w:val="28"/>
      <w:szCs w:val="28"/>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Table Paragraph"/>
    <w:basedOn w:val="1"/>
    <w:qFormat/>
    <w:uiPriority w:val="1"/>
    <w:pPr>
      <w:spacing w:before="105"/>
      <w:ind w:left="50"/>
    </w:pPr>
    <w:rPr>
      <w:rFonts w:ascii="仿宋_GB2312" w:hAnsi="仿宋_GB2312" w:eastAsia="仿宋_GB2312" w:cs="仿宋_GB2312"/>
      <w:lang w:val="zh-CN" w:eastAsia="zh-CN" w:bidi="zh-CN"/>
    </w:rPr>
  </w:style>
  <w:style w:type="paragraph" w:customStyle="1" w:styleId="11">
    <w:name w:val="样式 首行缩进:  2 字符"/>
    <w:basedOn w:val="1"/>
    <w:qFormat/>
    <w:uiPriority w:val="0"/>
    <w:pPr>
      <w:ind w:firstLine="560"/>
    </w:pPr>
    <w:rPr>
      <w:rFonts w:eastAsia="仿宋_GB2312"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7028</Words>
  <Characters>7173</Characters>
  <Lines>0</Lines>
  <Paragraphs>0</Paragraphs>
  <TotalTime>1</TotalTime>
  <ScaleCrop>false</ScaleCrop>
  <LinksUpToDate>false</LinksUpToDate>
  <CharactersWithSpaces>7510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2020-05-30T16:43:00Z</dcterms:created>
  <dc:creator>勄怺逺嬡勄</dc:creator>
  <cp:lastModifiedBy>林聲鵬</cp:lastModifiedBy>
  <dcterms:modified xsi:type="dcterms:W3CDTF">2025-11-05T02:05:07Z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ECD1739CEC3F468DB7AA5E57AFA93559_13</vt:lpwstr>
  </property>
  <property fmtid="{D5CDD505-2E9C-101B-9397-08002B2CF9AE}" pid="4" name="KSOTemplateDocerSaveRecord">
    <vt:lpwstr>eyJoZGlkIjoiMWU2NTIyNDk3YWFkZmMyNTdjNjE5ODNiMTMzMWQwMmQiLCJ1c2VySWQiOiIzNjIxMDUwMDQifQ==</vt:lpwstr>
  </property>
</Properties>
</file>